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4, 2026</w:t>
      </w:r>
    </w:p>
    <w:p>
      <w:pPr>
        <w:spacing w:after="0" w:line="6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KURA ONCOLOGY,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1060" w:type="dxa"/>
        <w:tblCellMar>
          <w:top w:w="0" w:type="dxa"/>
          <w:left w:w="0" w:type="dxa"/>
          <w:bottom w:w="0" w:type="dxa"/>
          <w:right w:w="0" w:type="dxa"/>
        </w:tblCellMar>
      </w:tblPr>
      <w:tr>
        <w:trPr>
          <w:trHeight w:val="214"/>
        </w:trPr>
        <w:tc>
          <w:tcPr>
            <w:tcW w:w="5240" w:type="dxa"/>
            <w:vAlign w:val="bottom"/>
          </w:tcPr>
          <w:p>
            <w:pPr>
              <w:jc w:val="center"/>
              <w:ind w:right="158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8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61-1547851</w:t>
            </w:r>
          </w:p>
        </w:tc>
      </w:tr>
      <w:tr>
        <w:trPr>
          <w:trHeight w:val="148"/>
        </w:trPr>
        <w:tc>
          <w:tcPr>
            <w:tcW w:w="5240" w:type="dxa"/>
            <w:vAlign w:val="bottom"/>
          </w:tcPr>
          <w:p>
            <w:pPr>
              <w:jc w:val="center"/>
              <w:ind w:right="158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78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240" w:type="dxa"/>
            <w:vAlign w:val="bottom"/>
          </w:tcPr>
          <w:p>
            <w:pPr>
              <w:jc w:val="center"/>
              <w:ind w:right="158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78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0"/>
        </w:trPr>
        <w:tc>
          <w:tcPr>
            <w:tcW w:w="5240" w:type="dxa"/>
            <w:vAlign w:val="bottom"/>
          </w:tcPr>
          <w:p>
            <w:pPr>
              <w:jc w:val="center"/>
              <w:ind w:right="1581"/>
              <w:spacing w:after="0"/>
              <w:rPr>
                <w:sz w:val="20"/>
                <w:szCs w:val="20"/>
                <w:color w:val="auto"/>
              </w:rPr>
            </w:pPr>
            <w:r>
              <w:rPr>
                <w:rFonts w:ascii="Times New Roman" w:cs="Times New Roman" w:eastAsia="Times New Roman" w:hAnsi="Times New Roman"/>
                <w:sz w:val="18"/>
                <w:szCs w:val="18"/>
                <w:b w:val="1"/>
                <w:bCs w:val="1"/>
                <w:color w:val="auto"/>
                <w:w w:val="99"/>
              </w:rPr>
              <w:t>4930 Directors Place, Suite 500, San Diego, CA</w:t>
            </w:r>
          </w:p>
        </w:tc>
        <w:tc>
          <w:tcPr>
            <w:tcW w:w="27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90"/>
        </w:trPr>
        <w:tc>
          <w:tcPr>
            <w:tcW w:w="5240" w:type="dxa"/>
            <w:vAlign w:val="bottom"/>
          </w:tcPr>
          <w:p>
            <w:pPr>
              <w:jc w:val="center"/>
              <w:ind w:right="15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8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Kura Oncology, Inc. Amended and Restated 2014 Equity Incentive Plan</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Kura Oncology, Inc. Amended and Restated 2015 Employee Stock Purchase Plan</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titles of the plans)</w:t>
      </w:r>
    </w:p>
    <w:p>
      <w:pPr>
        <w:spacing w:after="0" w:line="188"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Troy E. Wilson, Ph.D., J.D.</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Kura Oncology, Inc.</w:t>
      </w:r>
    </w:p>
    <w:p>
      <w:pPr>
        <w:spacing w:after="0" w:line="9"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4930 Directors Place, Suite 500</w:t>
      </w:r>
    </w:p>
    <w:p>
      <w:pPr>
        <w:spacing w:after="0" w:line="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9"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(858) 500-8800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3" w:lineRule="exact"/>
        <w:rPr>
          <w:sz w:val="24"/>
          <w:szCs w:val="24"/>
          <w:color w:val="auto"/>
        </w:rPr>
      </w:pPr>
    </w:p>
    <w:tbl>
      <w:tblPr>
        <w:tblLayout w:type="fixed"/>
        <w:tblInd w:w="174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52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315"/>
        </w:trPr>
        <w:tc>
          <w:tcPr>
            <w:tcW w:w="28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Charles J. Bair, Esq.</w:t>
            </w:r>
          </w:p>
        </w:tc>
        <w:tc>
          <w:tcPr>
            <w:tcW w:w="524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9"/>
              </w:rPr>
              <w:t>Teresa Bair</w:t>
            </w:r>
          </w:p>
        </w:tc>
      </w:tr>
      <w:tr>
        <w:trPr>
          <w:trHeight w:val="216"/>
        </w:trPr>
        <w:tc>
          <w:tcPr>
            <w:tcW w:w="28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Cooley LLP</w:t>
            </w:r>
          </w:p>
        </w:tc>
        <w:tc>
          <w:tcPr>
            <w:tcW w:w="524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rPr>
              <w:t>Chief Legal Officer and Secretary</w:t>
            </w:r>
          </w:p>
        </w:tc>
      </w:tr>
      <w:tr>
        <w:trPr>
          <w:trHeight w:val="216"/>
        </w:trPr>
        <w:tc>
          <w:tcPr>
            <w:tcW w:w="28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10265 Science Center Drive</w:t>
            </w:r>
          </w:p>
        </w:tc>
        <w:tc>
          <w:tcPr>
            <w:tcW w:w="5240" w:type="dxa"/>
            <w:vAlign w:val="bottom"/>
          </w:tcPr>
          <w:p>
            <w:pPr>
              <w:ind w:left="3120"/>
              <w:spacing w:after="0"/>
              <w:rPr>
                <w:sz w:val="20"/>
                <w:szCs w:val="20"/>
                <w:color w:val="auto"/>
              </w:rPr>
            </w:pPr>
            <w:r>
              <w:rPr>
                <w:rFonts w:ascii="Times New Roman" w:cs="Times New Roman" w:eastAsia="Times New Roman" w:hAnsi="Times New Roman"/>
                <w:sz w:val="18"/>
                <w:szCs w:val="18"/>
                <w:b w:val="1"/>
                <w:bCs w:val="1"/>
                <w:color w:val="auto"/>
              </w:rPr>
              <w:t>Kura Oncology, Inc.</w:t>
            </w:r>
          </w:p>
        </w:tc>
      </w:tr>
      <w:tr>
        <w:trPr>
          <w:trHeight w:val="216"/>
        </w:trPr>
        <w:tc>
          <w:tcPr>
            <w:tcW w:w="28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tc>
        <w:tc>
          <w:tcPr>
            <w:tcW w:w="524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rPr>
              <w:t>4930 Directors Place, Suite 500</w:t>
            </w:r>
          </w:p>
        </w:tc>
      </w:tr>
      <w:tr>
        <w:trPr>
          <w:trHeight w:val="216"/>
        </w:trPr>
        <w:tc>
          <w:tcPr>
            <w:tcW w:w="28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(858) 550-6000</w:t>
            </w:r>
          </w:p>
        </w:tc>
        <w:tc>
          <w:tcPr>
            <w:tcW w:w="524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San Diego, California 92121</w:t>
            </w:r>
          </w:p>
        </w:tc>
      </w:tr>
      <w:tr>
        <w:trPr>
          <w:trHeight w:val="238"/>
        </w:trPr>
        <w:tc>
          <w:tcPr>
            <w:tcW w:w="2820" w:type="dxa"/>
            <w:vAlign w:val="bottom"/>
          </w:tcPr>
          <w:p>
            <w:pPr>
              <w:spacing w:after="0"/>
              <w:rPr>
                <w:sz w:val="20"/>
                <w:szCs w:val="20"/>
                <w:color w:val="auto"/>
              </w:rPr>
            </w:pPr>
          </w:p>
        </w:tc>
        <w:tc>
          <w:tcPr>
            <w:tcW w:w="524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(858) 500-8800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68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c>
          <w:tcPr>
            <w:tcW w:w="460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Accelerated filer</w:t>
            </w:r>
          </w:p>
        </w:tc>
        <w:tc>
          <w:tcPr>
            <w:tcW w:w="1320" w:type="dxa"/>
            <w:vAlign w:val="bottom"/>
          </w:tcPr>
          <w:p>
            <w:pPr>
              <w:ind w:left="1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68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c>
          <w:tcPr>
            <w:tcW w:w="460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320" w:type="dxa"/>
            <w:vAlign w:val="bottom"/>
          </w:tcPr>
          <w:p>
            <w:pPr>
              <w:ind w:left="1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3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460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320" w:type="dxa"/>
            <w:vAlign w:val="bottom"/>
          </w:tcPr>
          <w:p>
            <w:pPr>
              <w:ind w:left="11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0"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ADDITIONAL SECURITIES</w:t>
      </w:r>
    </w:p>
    <w:p>
      <w:pPr>
        <w:spacing w:after="0" w:line="117" w:lineRule="exact"/>
        <w:rPr>
          <w:sz w:val="20"/>
          <w:szCs w:val="20"/>
          <w:color w:val="auto"/>
        </w:rPr>
      </w:pPr>
    </w:p>
    <w:p>
      <w:pPr>
        <w:jc w:val="both"/>
        <w:ind w:firstLine="576"/>
        <w:spacing w:after="0" w:line="257" w:lineRule="auto"/>
        <w:rPr>
          <w:sz w:val="20"/>
          <w:szCs w:val="20"/>
          <w:color w:val="auto"/>
        </w:rPr>
      </w:pPr>
      <w:r>
        <w:rPr>
          <w:rFonts w:ascii="Times New Roman" w:cs="Times New Roman" w:eastAsia="Times New Roman" w:hAnsi="Times New Roman"/>
          <w:sz w:val="18"/>
          <w:szCs w:val="18"/>
          <w:color w:val="auto"/>
        </w:rPr>
        <w:t>Kura Oncology, Inc.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has prepared this Registration Statement on Form S-8 (this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in accordance with the requirements of Form S-8 under the Securities Act of 1933, as amended, to register (i) 6,500,000 additional shares of the Registrant’s Common Stock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issuable under the Kura Oncology, Inc. Amended and Restated 2014 Equity Incentive Plan (the “</w:t>
      </w:r>
      <w:r>
        <w:rPr>
          <w:rFonts w:ascii="Times New Roman" w:cs="Times New Roman" w:eastAsia="Times New Roman" w:hAnsi="Times New Roman"/>
          <w:sz w:val="18"/>
          <w:szCs w:val="18"/>
          <w:b w:val="1"/>
          <w:bCs w:val="1"/>
          <w:i w:val="1"/>
          <w:iCs w:val="1"/>
          <w:color w:val="auto"/>
        </w:rPr>
        <w:t>2014 Plan</w:t>
      </w:r>
      <w:r>
        <w:rPr>
          <w:rFonts w:ascii="Times New Roman" w:cs="Times New Roman" w:eastAsia="Times New Roman" w:hAnsi="Times New Roman"/>
          <w:sz w:val="18"/>
          <w:szCs w:val="18"/>
          <w:color w:val="auto"/>
        </w:rPr>
        <w:t>”), pursuant to an increase in the number of shares of Common Stock reserved for issuance under the 2014 Plan, and (ii) 2,500,000 additional shares of Common Stock issuable under the Kura Oncology, Inc. Amended and Restated 2015 Employee Stock Purchase Plan (the “</w:t>
      </w:r>
      <w:r>
        <w:rPr>
          <w:rFonts w:ascii="Times New Roman" w:cs="Times New Roman" w:eastAsia="Times New Roman" w:hAnsi="Times New Roman"/>
          <w:sz w:val="18"/>
          <w:szCs w:val="18"/>
          <w:b w:val="1"/>
          <w:bCs w:val="1"/>
          <w:i w:val="1"/>
          <w:iCs w:val="1"/>
          <w:color w:val="auto"/>
        </w:rPr>
        <w:t>2015 ESPP</w:t>
      </w:r>
      <w:r>
        <w:rPr>
          <w:rFonts w:ascii="Times New Roman" w:cs="Times New Roman" w:eastAsia="Times New Roman" w:hAnsi="Times New Roman"/>
          <w:sz w:val="18"/>
          <w:szCs w:val="18"/>
          <w:color w:val="auto"/>
        </w:rPr>
        <w:t>” and, together with the 2014 Plan, the “</w:t>
      </w:r>
      <w:r>
        <w:rPr>
          <w:rFonts w:ascii="Times New Roman" w:cs="Times New Roman" w:eastAsia="Times New Roman" w:hAnsi="Times New Roman"/>
          <w:sz w:val="18"/>
          <w:szCs w:val="18"/>
          <w:b w:val="1"/>
          <w:bCs w:val="1"/>
          <w:i w:val="1"/>
          <w:iCs w:val="1"/>
          <w:color w:val="auto"/>
        </w:rPr>
        <w:t>Plans</w:t>
      </w:r>
      <w:r>
        <w:rPr>
          <w:rFonts w:ascii="Times New Roman" w:cs="Times New Roman" w:eastAsia="Times New Roman" w:hAnsi="Times New Roman"/>
          <w:sz w:val="18"/>
          <w:szCs w:val="18"/>
          <w:color w:val="auto"/>
        </w:rPr>
        <w:t>”), pursuant to an increase in the number of shares of Common Stock reserved for issuance under the 2015 ESPP.</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This Registration Statement is being filed for the purpose of increasing the number of securities of the same class as other securities for which a Registration Statement of the Registrant on Form S-8 relating to the same employee benefit plans is effective.</w:t>
      </w:r>
    </w:p>
    <w:p>
      <w:pPr>
        <w:spacing w:after="0" w:line="162" w:lineRule="exact"/>
        <w:rPr>
          <w:sz w:val="20"/>
          <w:szCs w:val="20"/>
          <w:color w:val="auto"/>
        </w:rPr>
      </w:pPr>
    </w:p>
    <w:p>
      <w:pPr>
        <w:jc w:val="both"/>
        <w:ind w:firstLine="50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 previously registered shares of its Common Stock for issuance under the Plans under Registration Statements on Form S-8 filed with the Securities and Exchange Commission on </w:t>
      </w:r>
      <w:hyperlink r:id="rId17">
        <w:r>
          <w:rPr>
            <w:rFonts w:ascii="Times New Roman" w:cs="Times New Roman" w:eastAsia="Times New Roman" w:hAnsi="Times New Roman"/>
            <w:sz w:val="18"/>
            <w:szCs w:val="18"/>
            <w:u w:val="single" w:color="auto"/>
            <w:color w:val="0000FF"/>
          </w:rPr>
          <w:t>April 17, 2015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333-203504), </w:t>
      </w:r>
      <w:hyperlink r:id="rId18">
        <w:r>
          <w:rPr>
            <w:rFonts w:ascii="Times New Roman" w:cs="Times New Roman" w:eastAsia="Times New Roman" w:hAnsi="Times New Roman"/>
            <w:sz w:val="18"/>
            <w:szCs w:val="18"/>
            <w:u w:val="single" w:color="auto"/>
            <w:color w:val="0000FF"/>
          </w:rPr>
          <w:t>March 17, 2016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333-210260), </w:t>
      </w:r>
      <w:hyperlink r:id="rId19">
        <w:r>
          <w:rPr>
            <w:rFonts w:ascii="Times New Roman" w:cs="Times New Roman" w:eastAsia="Times New Roman" w:hAnsi="Times New Roman"/>
            <w:sz w:val="18"/>
            <w:szCs w:val="18"/>
            <w:u w:val="single" w:color="auto"/>
            <w:color w:val="0000FF"/>
          </w:rPr>
          <w:t>March 14, 2017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333-216683), </w:t>
      </w:r>
      <w:hyperlink r:id="rId20">
        <w:r>
          <w:rPr>
            <w:rFonts w:ascii="Times New Roman" w:cs="Times New Roman" w:eastAsia="Times New Roman" w:hAnsi="Times New Roman"/>
            <w:sz w:val="18"/>
            <w:szCs w:val="18"/>
            <w:u w:val="single" w:color="auto"/>
            <w:color w:val="0000FF"/>
          </w:rPr>
          <w:t>March 12, 2018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333-223591), </w:t>
      </w:r>
      <w:hyperlink r:id="rId21">
        <w:r>
          <w:rPr>
            <w:rFonts w:ascii="Times New Roman" w:cs="Times New Roman" w:eastAsia="Times New Roman" w:hAnsi="Times New Roman"/>
            <w:sz w:val="18"/>
            <w:szCs w:val="18"/>
            <w:u w:val="single" w:color="auto"/>
            <w:color w:val="0000FF"/>
          </w:rPr>
          <w:t>March 5, 2019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333-230075), </w:t>
      </w:r>
      <w:hyperlink r:id="rId22">
        <w:r>
          <w:rPr>
            <w:rFonts w:ascii="Times New Roman" w:cs="Times New Roman" w:eastAsia="Times New Roman" w:hAnsi="Times New Roman"/>
            <w:sz w:val="18"/>
            <w:szCs w:val="18"/>
            <w:u w:val="single" w:color="auto"/>
            <w:color w:val="0000FF"/>
          </w:rPr>
          <w:t>February 25,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333-236621), </w:t>
      </w:r>
      <w:hyperlink r:id="rId23">
        <w:r>
          <w:rPr>
            <w:rFonts w:ascii="Times New Roman" w:cs="Times New Roman" w:eastAsia="Times New Roman" w:hAnsi="Times New Roman"/>
            <w:sz w:val="18"/>
            <w:szCs w:val="18"/>
            <w:u w:val="single" w:color="auto"/>
            <w:color w:val="0000FF"/>
          </w:rPr>
          <w:t>February 24, 202</w:t>
        </w:r>
        <w:r>
          <w:rPr>
            <w:rFonts w:ascii="Times New Roman" w:cs="Times New Roman" w:eastAsia="Times New Roman" w:hAnsi="Times New Roman"/>
            <w:sz w:val="18"/>
            <w:szCs w:val="18"/>
            <w:u w:val="single" w:color="auto"/>
            <w:color w:val="0563C1"/>
          </w:rPr>
          <w:t>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333-253441), </w:t>
      </w:r>
      <w:hyperlink r:id="rId24">
        <w:r>
          <w:rPr>
            <w:rFonts w:ascii="Times New Roman" w:cs="Times New Roman" w:eastAsia="Times New Roman" w:hAnsi="Times New Roman"/>
            <w:sz w:val="18"/>
            <w:szCs w:val="18"/>
            <w:u w:val="single" w:color="auto"/>
            <w:color w:val="0000FF"/>
          </w:rPr>
          <w:t>February 24,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333-263000), </w:t>
      </w:r>
      <w:hyperlink r:id="rId25">
        <w:r>
          <w:rPr>
            <w:rFonts w:ascii="Times New Roman" w:cs="Times New Roman" w:eastAsia="Times New Roman" w:hAnsi="Times New Roman"/>
            <w:sz w:val="18"/>
            <w:szCs w:val="18"/>
            <w:u w:val="single" w:color="auto"/>
            <w:color w:val="0000FF"/>
          </w:rPr>
          <w:t>February 24,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333-269974), </w:t>
      </w:r>
      <w:hyperlink r:id="rId26">
        <w:r>
          <w:rPr>
            <w:rFonts w:ascii="Times New Roman" w:cs="Times New Roman" w:eastAsia="Times New Roman" w:hAnsi="Times New Roman"/>
            <w:sz w:val="18"/>
            <w:szCs w:val="18"/>
            <w:u w:val="single" w:color="auto"/>
            <w:color w:val="0000FF"/>
          </w:rPr>
          <w:t>June 2,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333-272389), </w:t>
      </w:r>
      <w:hyperlink r:id="rId27">
        <w:r>
          <w:rPr>
            <w:rFonts w:ascii="Times New Roman" w:cs="Times New Roman" w:eastAsia="Times New Roman" w:hAnsi="Times New Roman"/>
            <w:sz w:val="18"/>
            <w:szCs w:val="18"/>
            <w:u w:val="single" w:color="auto"/>
            <w:color w:val="0000FF"/>
          </w:rPr>
          <w:t>June 7, 2024</w:t>
        </w:r>
      </w:hyperlink>
      <w:r>
        <w:rPr>
          <w:rFonts w:ascii="Times New Roman" w:cs="Times New Roman" w:eastAsia="Times New Roman" w:hAnsi="Times New Roman"/>
          <w:sz w:val="18"/>
          <w:szCs w:val="18"/>
          <w:color w:val="auto"/>
        </w:rPr>
        <w:t xml:space="preserve"> (File No. 333-280050) and </w:t>
      </w:r>
      <w:hyperlink r:id="rId28">
        <w:r>
          <w:rPr>
            <w:rFonts w:ascii="Times New Roman" w:cs="Times New Roman" w:eastAsia="Times New Roman" w:hAnsi="Times New Roman"/>
            <w:sz w:val="18"/>
            <w:szCs w:val="18"/>
            <w:u w:val="single" w:color="auto"/>
            <w:color w:val="0000FF"/>
          </w:rPr>
          <w:t>June 6,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333-287866). Pursuant to General Instruction E to Form S-8, this Registration Statement hereby incorporates by reference the contents of the Registration Statements referenced above.</w:t>
      </w:r>
    </w:p>
    <w:p>
      <w:pPr>
        <w:spacing w:after="0" w:line="18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ectPr>
          <w:pgSz w:w="11900" w:h="16838" w:orient="portrait"/>
          <w:cols w:equalWidth="0" w:num="1">
            <w:col w:w="11240"/>
          </w:cols>
          <w:pgMar w:left="320" w:top="981" w:right="339" w:bottom="1440" w:gutter="0" w:footer="0" w:header="0"/>
        </w:sectPr>
      </w:pPr>
    </w:p>
    <w:p>
      <w:pPr>
        <w:spacing w:after="0" w:line="117" w:lineRule="exact"/>
        <w:rPr>
          <w:rFonts w:ascii="Times New Roman" w:cs="Times New Roman" w:eastAsia="Times New Roman" w:hAnsi="Times New Roman"/>
          <w:sz w:val="18"/>
          <w:szCs w:val="18"/>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397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313" w:lineRule="exact"/>
        <w:rPr>
          <w:rFonts w:ascii="Times New Roman" w:cs="Times New Roman" w:eastAsia="Times New Roman" w:hAnsi="Times New Roman"/>
          <w:sz w:val="18"/>
          <w:szCs w:val="18"/>
          <w:color w:val="auto"/>
        </w:rPr>
      </w:pPr>
    </w:p>
    <w:p>
      <w:pPr>
        <w:jc w:val="center"/>
        <w:ind w:right="464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-2945130</wp:posOffset>
            </wp:positionH>
            <wp:positionV relativeFrom="paragraph">
              <wp:posOffset>19685</wp:posOffset>
            </wp:positionV>
            <wp:extent cx="64636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6463665" cy="8255"/>
                    </a:xfrm>
                    <a:prstGeom prst="rect">
                      <a:avLst/>
                    </a:prstGeom>
                    <a:noFill/>
                  </pic:spPr>
                </pic:pic>
              </a:graphicData>
            </a:graphic>
          </wp:anchor>
        </w:drawing>
      </w:r>
    </w:p>
    <w:p>
      <w:pPr>
        <w:spacing w:after="0" w:line="31" w:lineRule="exact"/>
        <w:rPr>
          <w:rFonts w:ascii="Times New Roman" w:cs="Times New Roman" w:eastAsia="Times New Roman" w:hAnsi="Times New Roman"/>
          <w:sz w:val="18"/>
          <w:szCs w:val="18"/>
          <w:color w:val="auto"/>
        </w:rPr>
      </w:pPr>
    </w:p>
    <w:p>
      <w:pPr>
        <w:sectPr>
          <w:pgSz w:w="11900" w:h="16838" w:orient="portrait"/>
          <w:cols w:equalWidth="0" w:num="2">
            <w:col w:w="4980" w:space="720"/>
            <w:col w:w="5540"/>
          </w:cols>
          <w:pgMar w:left="320" w:top="981" w:right="339" w:bottom="1440" w:gutter="0" w:footer="0" w:header="0"/>
          <w:type w:val="continuous"/>
        </w:sectPr>
      </w:pPr>
    </w:p>
    <w:p>
      <w:pPr>
        <w:ind w:left="1060" w:right="860" w:hanging="739"/>
        <w:spacing w:after="0" w:line="276"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31">
        <w:r>
          <w:rPr>
            <w:rFonts w:ascii="Times New Roman" w:cs="Times New Roman" w:eastAsia="Times New Roman" w:hAnsi="Times New Roman"/>
            <w:sz w:val="18"/>
            <w:szCs w:val="18"/>
            <w:u w:val="single" w:color="auto"/>
            <w:color w:val="0000FF"/>
          </w:rPr>
          <w:t>Amended and Restated Certificate of Incorporation of the Registrant, as amended (incorporated by reference to Exhibit 3.1 of the</w:t>
        </w:r>
      </w:hyperlink>
      <w:r>
        <w:rPr>
          <w:rFonts w:ascii="Times New Roman" w:cs="Times New Roman" w:eastAsia="Times New Roman" w:hAnsi="Times New Roman"/>
          <w:sz w:val="18"/>
          <w:szCs w:val="18"/>
          <w:u w:val="single" w:color="auto"/>
          <w:color w:val="0000FF"/>
        </w:rPr>
        <w:t xml:space="preserve"> </w:t>
      </w:r>
      <w:hyperlink r:id="rId31">
        <w:r>
          <w:rPr>
            <w:rFonts w:ascii="Times New Roman" w:cs="Times New Roman" w:eastAsia="Times New Roman" w:hAnsi="Times New Roman"/>
            <w:sz w:val="18"/>
            <w:szCs w:val="18"/>
            <w:u w:val="single" w:color="auto"/>
            <w:color w:val="0000FF"/>
          </w:rPr>
          <w:t>Registrant’s Form 8-K filed on June 14, 2017).</w:t>
        </w:r>
      </w:hyperlink>
    </w:p>
    <w:p>
      <w:pPr>
        <w:spacing w:after="0" w:line="32" w:lineRule="exact"/>
        <w:rPr>
          <w:sz w:val="20"/>
          <w:szCs w:val="20"/>
          <w:color w:val="auto"/>
        </w:rPr>
      </w:pPr>
    </w:p>
    <w:p>
      <w:pPr>
        <w:ind w:left="320"/>
        <w:spacing w:after="0"/>
        <w:tabs>
          <w:tab w:leader="none" w:pos="10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32">
        <w:r>
          <w:rPr>
            <w:rFonts w:ascii="Times New Roman" w:cs="Times New Roman" w:eastAsia="Times New Roman" w:hAnsi="Times New Roman"/>
            <w:sz w:val="17"/>
            <w:szCs w:val="17"/>
            <w:u w:val="single" w:color="auto"/>
            <w:color w:val="0000FF"/>
          </w:rPr>
          <w:t>Amended and Restated Bylaws of the Registrant (incorporated by reference to Exhibit 99.1 of the Registrant’s Form 8-K filed on January 29,</w:t>
        </w:r>
      </w:hyperlink>
    </w:p>
    <w:p>
      <w:pPr>
        <w:spacing w:after="0" w:line="20" w:lineRule="exact"/>
        <w:rPr>
          <w:sz w:val="20"/>
          <w:szCs w:val="20"/>
          <w:color w:val="auto"/>
        </w:rPr>
      </w:pPr>
    </w:p>
    <w:p>
      <w:pPr>
        <w:spacing w:after="0" w:line="7" w:lineRule="exact"/>
        <w:rPr>
          <w:sz w:val="20"/>
          <w:szCs w:val="20"/>
          <w:color w:val="auto"/>
        </w:rPr>
      </w:pPr>
    </w:p>
    <w:p>
      <w:pPr>
        <w:ind w:left="1060"/>
        <w:spacing w:after="0"/>
        <w:rPr>
          <w:rFonts w:ascii="Times New Roman" w:cs="Times New Roman" w:eastAsia="Times New Roman" w:hAnsi="Times New Roman"/>
          <w:sz w:val="18"/>
          <w:szCs w:val="18"/>
          <w:u w:val="single" w:color="auto"/>
          <w:color w:val="0000FF"/>
        </w:rPr>
      </w:pPr>
      <w:hyperlink r:id="rId32">
        <w:r>
          <w:rPr>
            <w:rFonts w:ascii="Times New Roman" w:cs="Times New Roman" w:eastAsia="Times New Roman" w:hAnsi="Times New Roman"/>
            <w:sz w:val="18"/>
            <w:szCs w:val="18"/>
            <w:u w:val="single" w:color="auto"/>
            <w:color w:val="0000FF"/>
          </w:rPr>
          <w:t>2026).</w:t>
        </w:r>
      </w:hyperlink>
    </w:p>
    <w:p>
      <w:pPr>
        <w:spacing w:after="0" w:line="72" w:lineRule="exact"/>
        <w:rPr>
          <w:sz w:val="20"/>
          <w:szCs w:val="20"/>
          <w:color w:val="auto"/>
        </w:rPr>
      </w:pPr>
    </w:p>
    <w:p>
      <w:pPr>
        <w:ind w:left="320"/>
        <w:spacing w:after="0"/>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33">
        <w:r>
          <w:rPr>
            <w:rFonts w:ascii="Times New Roman" w:cs="Times New Roman" w:eastAsia="Times New Roman" w:hAnsi="Times New Roman"/>
            <w:sz w:val="18"/>
            <w:szCs w:val="18"/>
            <w:u w:val="single" w:color="auto"/>
            <w:color w:val="0000FF"/>
          </w:rPr>
          <w:t>Form of Common Stock Certificate of the Registrant (incorporated by reference to Exhibit 4.1 of the Registrant’s Form 8-K filed on March</w:t>
        </w:r>
      </w:hyperlink>
    </w:p>
    <w:p>
      <w:pPr>
        <w:spacing w:after="0" w:line="27" w:lineRule="exact"/>
        <w:rPr>
          <w:sz w:val="20"/>
          <w:szCs w:val="20"/>
          <w:color w:val="auto"/>
        </w:rPr>
      </w:pPr>
    </w:p>
    <w:p>
      <w:pPr>
        <w:ind w:left="1060"/>
        <w:spacing w:after="0"/>
        <w:rPr>
          <w:rFonts w:ascii="Times New Roman" w:cs="Times New Roman" w:eastAsia="Times New Roman" w:hAnsi="Times New Roman"/>
          <w:sz w:val="18"/>
          <w:szCs w:val="18"/>
          <w:u w:val="single" w:color="auto"/>
          <w:color w:val="0000FF"/>
        </w:rPr>
      </w:pPr>
      <w:hyperlink r:id="rId33">
        <w:r>
          <w:rPr>
            <w:rFonts w:ascii="Times New Roman" w:cs="Times New Roman" w:eastAsia="Times New Roman" w:hAnsi="Times New Roman"/>
            <w:sz w:val="18"/>
            <w:szCs w:val="18"/>
            <w:u w:val="single" w:color="auto"/>
            <w:color w:val="0000FF"/>
          </w:rPr>
          <w:t>12, 2015, containing items 1.01, 2.01, 3.02, 4.01, 5.01, 5.02, 5.03, 5.06 and 9.01).</w:t>
        </w:r>
      </w:hyperlink>
    </w:p>
    <w:p>
      <w:pPr>
        <w:spacing w:after="0" w:line="68" w:lineRule="exact"/>
        <w:rPr>
          <w:sz w:val="20"/>
          <w:szCs w:val="20"/>
          <w:color w:val="auto"/>
        </w:rPr>
      </w:pPr>
    </w:p>
    <w:p>
      <w:pPr>
        <w:ind w:left="320"/>
        <w:spacing w:after="0"/>
        <w:tabs>
          <w:tab w:leader="none" w:pos="10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0000FF"/>
        </w:rPr>
        <w:t>Opinion of Cooley LLP.</w:t>
      </w:r>
      <w:r>
        <w:rPr>
          <w:rFonts w:ascii="Times New Roman" w:cs="Times New Roman" w:eastAsia="Times New Roman" w:hAnsi="Times New Roman"/>
          <w:sz w:val="18"/>
          <w:szCs w:val="18"/>
          <w:b w:val="1"/>
          <w:bCs w:val="1"/>
          <w:color w:val="000000"/>
        </w:rPr>
        <w:t>*</w:t>
      </w:r>
    </w:p>
    <w:p>
      <w:pPr>
        <w:spacing w:after="0" w:line="90" w:lineRule="exact"/>
        <w:rPr>
          <w:sz w:val="20"/>
          <w:szCs w:val="20"/>
          <w:color w:val="auto"/>
        </w:rPr>
      </w:pPr>
    </w:p>
    <w:p>
      <w:pPr>
        <w:ind w:left="280"/>
        <w:spacing w:after="0"/>
        <w:tabs>
          <w:tab w:leader="none" w:pos="10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u w:val="single" w:color="auto"/>
          <w:color w:val="0000FF"/>
        </w:rPr>
        <w:t>Consent of Independent Registered Public Accounting Firm.</w:t>
      </w:r>
      <w:r>
        <w:rPr>
          <w:rFonts w:ascii="Times New Roman" w:cs="Times New Roman" w:eastAsia="Times New Roman" w:hAnsi="Times New Roman"/>
          <w:sz w:val="18"/>
          <w:szCs w:val="18"/>
          <w:b w:val="1"/>
          <w:bCs w:val="1"/>
          <w:color w:val="000000"/>
        </w:rPr>
        <w:t>*</w:t>
      </w:r>
    </w:p>
    <w:p>
      <w:pPr>
        <w:spacing w:after="0" w:line="90" w:lineRule="exact"/>
        <w:rPr>
          <w:sz w:val="20"/>
          <w:szCs w:val="20"/>
          <w:color w:val="auto"/>
        </w:rPr>
      </w:pPr>
    </w:p>
    <w:p>
      <w:pPr>
        <w:ind w:left="280"/>
        <w:spacing w:after="0"/>
        <w:tabs>
          <w:tab w:leader="none" w:pos="10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FF"/>
        </w:rPr>
        <w:t>Consent of Cooley LLP. Reference is made to Exhibit 5.1.</w:t>
      </w:r>
      <w:r>
        <w:rPr>
          <w:rFonts w:ascii="Times New Roman" w:cs="Times New Roman" w:eastAsia="Times New Roman" w:hAnsi="Times New Roman"/>
          <w:sz w:val="17"/>
          <w:szCs w:val="17"/>
          <w:b w:val="1"/>
          <w:bCs w:val="1"/>
          <w:color w:val="000000"/>
        </w:rPr>
        <w:t>*</w:t>
      </w:r>
    </w:p>
    <w:p>
      <w:pPr>
        <w:spacing w:after="0" w:line="90" w:lineRule="exact"/>
        <w:rPr>
          <w:sz w:val="20"/>
          <w:szCs w:val="20"/>
          <w:color w:val="auto"/>
        </w:rPr>
      </w:pPr>
    </w:p>
    <w:p>
      <w:pPr>
        <w:ind w:left="280"/>
        <w:spacing w:after="0"/>
        <w:tabs>
          <w:tab w:leader="none" w:pos="10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FF"/>
        </w:rPr>
        <w:t>Power of Attorney. Reference is made to the signature page hereto.</w:t>
      </w:r>
      <w:r>
        <w:rPr>
          <w:rFonts w:ascii="Times New Roman" w:cs="Times New Roman" w:eastAsia="Times New Roman" w:hAnsi="Times New Roman"/>
          <w:sz w:val="17"/>
          <w:szCs w:val="17"/>
          <w:b w:val="1"/>
          <w:bCs w:val="1"/>
          <w:color w:val="000000"/>
        </w:rPr>
        <w:t>*</w:t>
      </w:r>
    </w:p>
    <w:p>
      <w:pPr>
        <w:spacing w:after="0" w:line="94" w:lineRule="exact"/>
        <w:rPr>
          <w:sz w:val="20"/>
          <w:szCs w:val="20"/>
          <w:color w:val="auto"/>
        </w:rPr>
      </w:pPr>
    </w:p>
    <w:p>
      <w:pPr>
        <w:ind w:left="1060" w:right="400" w:hanging="784"/>
        <w:spacing w:after="0" w:line="312" w:lineRule="auto"/>
        <w:tabs>
          <w:tab w:leader="none" w:pos="10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99.1</w:t>
      </w:r>
      <w:r>
        <w:rPr>
          <w:sz w:val="20"/>
          <w:szCs w:val="20"/>
          <w:color w:val="auto"/>
        </w:rPr>
        <w:tab/>
      </w:r>
      <w:hyperlink r:id="rId34">
        <w:r>
          <w:rPr>
            <w:rFonts w:ascii="Times New Roman" w:cs="Times New Roman" w:eastAsia="Times New Roman" w:hAnsi="Times New Roman"/>
            <w:sz w:val="17"/>
            <w:szCs w:val="17"/>
            <w:u w:val="single" w:color="auto"/>
            <w:color w:val="0000FF"/>
          </w:rPr>
          <w:t>Kura Oncology, Inc. Amended and Restated 2014 Equity Incentive Plan and Forms of Stock Option Agreement, Notice of Exercise and</w:t>
        </w:r>
      </w:hyperlink>
      <w:r>
        <w:rPr>
          <w:rFonts w:ascii="Times New Roman" w:cs="Times New Roman" w:eastAsia="Times New Roman" w:hAnsi="Times New Roman"/>
          <w:sz w:val="17"/>
          <w:szCs w:val="17"/>
          <w:u w:val="single" w:color="auto"/>
          <w:color w:val="0000FF"/>
        </w:rPr>
        <w:t xml:space="preserve"> </w:t>
      </w:r>
      <w:hyperlink r:id="rId34">
        <w:r>
          <w:rPr>
            <w:rFonts w:ascii="Times New Roman" w:cs="Times New Roman" w:eastAsia="Times New Roman" w:hAnsi="Times New Roman"/>
            <w:sz w:val="17"/>
            <w:szCs w:val="17"/>
            <w:u w:val="single" w:color="auto"/>
            <w:color w:val="0000FF"/>
          </w:rPr>
          <w:t>Stock Option Grant Notice thereunder (incorporated by reference to Exhibit 99.1 of the Registrant’s Form 8-K filed on June 4, 2026).</w:t>
        </w:r>
      </w:hyperlink>
    </w:p>
    <w:p>
      <w:pPr>
        <w:spacing w:after="0" w:line="5" w:lineRule="exact"/>
        <w:rPr>
          <w:sz w:val="20"/>
          <w:szCs w:val="20"/>
          <w:color w:val="auto"/>
        </w:rPr>
      </w:pPr>
    </w:p>
    <w:p>
      <w:pPr>
        <w:ind w:left="1060" w:right="240" w:hanging="784"/>
        <w:spacing w:after="0" w:line="266"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99.2</w:t>
      </w:r>
      <w:r>
        <w:rPr>
          <w:sz w:val="20"/>
          <w:szCs w:val="20"/>
          <w:color w:val="auto"/>
        </w:rPr>
        <w:tab/>
      </w:r>
      <w:hyperlink r:id="rId35">
        <w:r>
          <w:rPr>
            <w:rFonts w:ascii="Times New Roman" w:cs="Times New Roman" w:eastAsia="Times New Roman" w:hAnsi="Times New Roman"/>
            <w:sz w:val="18"/>
            <w:szCs w:val="18"/>
            <w:u w:val="single" w:color="auto"/>
            <w:color w:val="0000FF"/>
          </w:rPr>
          <w:t>Form of Restricted Stock Purchase Agreement and Restricted Stock Purchase Award Notice under the Kura Oncology, Inc. Amended and</w:t>
        </w:r>
      </w:hyperlink>
      <w:r>
        <w:rPr>
          <w:rFonts w:ascii="Times New Roman" w:cs="Times New Roman" w:eastAsia="Times New Roman" w:hAnsi="Times New Roman"/>
          <w:sz w:val="18"/>
          <w:szCs w:val="18"/>
          <w:u w:val="single" w:color="auto"/>
          <w:color w:val="0000FF"/>
        </w:rPr>
        <w:t xml:space="preserve"> </w:t>
      </w:r>
      <w:hyperlink r:id="rId35">
        <w:r>
          <w:rPr>
            <w:rFonts w:ascii="Times New Roman" w:cs="Times New Roman" w:eastAsia="Times New Roman" w:hAnsi="Times New Roman"/>
            <w:sz w:val="18"/>
            <w:szCs w:val="18"/>
            <w:u w:val="single" w:color="auto"/>
            <w:color w:val="0000FF"/>
          </w:rPr>
          <w:t>Restated 2014 Equity Incentive Plan (incorporated by reference to Exhibit 10.2 of the Registrant’s Form 8-K filed on March 12, 2015,</w:t>
        </w:r>
      </w:hyperlink>
      <w:r>
        <w:rPr>
          <w:rFonts w:ascii="Times New Roman" w:cs="Times New Roman" w:eastAsia="Times New Roman" w:hAnsi="Times New Roman"/>
          <w:sz w:val="18"/>
          <w:szCs w:val="18"/>
          <w:u w:val="single" w:color="auto"/>
          <w:color w:val="0000FF"/>
        </w:rPr>
        <w:t xml:space="preserve"> </w:t>
      </w:r>
      <w:hyperlink r:id="rId35">
        <w:r>
          <w:rPr>
            <w:rFonts w:ascii="Times New Roman" w:cs="Times New Roman" w:eastAsia="Times New Roman" w:hAnsi="Times New Roman"/>
            <w:sz w:val="18"/>
            <w:szCs w:val="18"/>
            <w:u w:val="single" w:color="auto"/>
            <w:color w:val="0000FF"/>
          </w:rPr>
          <w:t>containing items 1.01, 2.01, 3.02, 4.01, 5.01, 5.02, 5.03, 5.06 and 9.01).</w:t>
        </w:r>
      </w:hyperlink>
    </w:p>
    <w:p>
      <w:pPr>
        <w:spacing w:after="0" w:line="41" w:lineRule="exact"/>
        <w:rPr>
          <w:rFonts w:ascii="Times New Roman" w:cs="Times New Roman" w:eastAsia="Times New Roman" w:hAnsi="Times New Roman"/>
          <w:sz w:val="18"/>
          <w:szCs w:val="18"/>
          <w:u w:val="single" w:color="auto"/>
          <w:color w:val="0000FF"/>
        </w:rPr>
      </w:pPr>
    </w:p>
    <w:p>
      <w:pPr>
        <w:jc w:val="both"/>
        <w:ind w:left="1060" w:right="220" w:hanging="784"/>
        <w:spacing w:after="0" w:line="266"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99.3</w:t>
      </w:r>
      <w:r>
        <w:rPr>
          <w:sz w:val="20"/>
          <w:szCs w:val="20"/>
          <w:color w:val="auto"/>
        </w:rPr>
        <w:tab/>
      </w:r>
      <w:hyperlink r:id="rId36">
        <w:r>
          <w:rPr>
            <w:rFonts w:ascii="Times New Roman" w:cs="Times New Roman" w:eastAsia="Times New Roman" w:hAnsi="Times New Roman"/>
            <w:sz w:val="18"/>
            <w:szCs w:val="18"/>
            <w:u w:val="single" w:color="auto"/>
            <w:color w:val="0000FF"/>
          </w:rPr>
          <w:t>Form of Restricted Stock Unit Award Grant Notice and Restricted Stock Unit Award Agreement under the Kura Oncology, Inc. Amended</w:t>
        </w:r>
      </w:hyperlink>
      <w:r>
        <w:rPr>
          <w:rFonts w:ascii="Times New Roman" w:cs="Times New Roman" w:eastAsia="Times New Roman" w:hAnsi="Times New Roman"/>
          <w:sz w:val="18"/>
          <w:szCs w:val="18"/>
          <w:u w:val="single" w:color="auto"/>
          <w:color w:val="0000FF"/>
        </w:rPr>
        <w:t xml:space="preserve"> </w:t>
      </w:r>
      <w:hyperlink r:id="rId36">
        <w:r>
          <w:rPr>
            <w:rFonts w:ascii="Times New Roman" w:cs="Times New Roman" w:eastAsia="Times New Roman" w:hAnsi="Times New Roman"/>
            <w:sz w:val="18"/>
            <w:szCs w:val="18"/>
            <w:u w:val="single" w:color="auto"/>
            <w:color w:val="0000FF"/>
          </w:rPr>
          <w:t>and Restated 2014 Equity Incentive Plan (incorporated by reference to Exhibit 10.22 of the Registrant’s Form 10-K filed on February 23,</w:t>
        </w:r>
      </w:hyperlink>
      <w:r>
        <w:rPr>
          <w:rFonts w:ascii="Times New Roman" w:cs="Times New Roman" w:eastAsia="Times New Roman" w:hAnsi="Times New Roman"/>
          <w:sz w:val="18"/>
          <w:szCs w:val="18"/>
          <w:u w:val="single" w:color="auto"/>
          <w:color w:val="0000FF"/>
        </w:rPr>
        <w:t xml:space="preserve"> </w:t>
      </w:r>
      <w:hyperlink r:id="rId36">
        <w:r>
          <w:rPr>
            <w:rFonts w:ascii="Times New Roman" w:cs="Times New Roman" w:eastAsia="Times New Roman" w:hAnsi="Times New Roman"/>
            <w:sz w:val="18"/>
            <w:szCs w:val="18"/>
            <w:u w:val="single" w:color="auto"/>
            <w:color w:val="0000FF"/>
          </w:rPr>
          <w:t>2023).</w:t>
        </w:r>
      </w:hyperlink>
    </w:p>
    <w:p>
      <w:pPr>
        <w:spacing w:after="0" w:line="41" w:lineRule="exact"/>
        <w:rPr>
          <w:rFonts w:ascii="Times New Roman" w:cs="Times New Roman" w:eastAsia="Times New Roman" w:hAnsi="Times New Roman"/>
          <w:sz w:val="18"/>
          <w:szCs w:val="18"/>
          <w:u w:val="single" w:color="auto"/>
          <w:color w:val="0000FF"/>
        </w:rPr>
      </w:pPr>
    </w:p>
    <w:p>
      <w:pPr>
        <w:ind w:left="1060" w:right="760" w:hanging="784"/>
        <w:spacing w:after="0" w:line="282"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99.4</w:t>
      </w:r>
      <w:r>
        <w:rPr>
          <w:sz w:val="20"/>
          <w:szCs w:val="20"/>
          <w:color w:val="auto"/>
        </w:rPr>
        <w:tab/>
      </w:r>
      <w:hyperlink r:id="rId37">
        <w:r>
          <w:rPr>
            <w:rFonts w:ascii="Times New Roman" w:cs="Times New Roman" w:eastAsia="Times New Roman" w:hAnsi="Times New Roman"/>
            <w:sz w:val="18"/>
            <w:szCs w:val="18"/>
            <w:u w:val="single" w:color="auto"/>
            <w:color w:val="0000FF"/>
          </w:rPr>
          <w:t>Kura Oncology, Inc. Amended and Restated 2015 Employee Stock Purchase Plan (incorporated by reference to Exhibit 99.2 of the</w:t>
        </w:r>
      </w:hyperlink>
      <w:r>
        <w:rPr>
          <w:rFonts w:ascii="Times New Roman" w:cs="Times New Roman" w:eastAsia="Times New Roman" w:hAnsi="Times New Roman"/>
          <w:sz w:val="18"/>
          <w:szCs w:val="18"/>
          <w:u w:val="single" w:color="auto"/>
          <w:color w:val="0000FF"/>
        </w:rPr>
        <w:t xml:space="preserve"> </w:t>
      </w:r>
      <w:hyperlink r:id="rId37">
        <w:r>
          <w:rPr>
            <w:rFonts w:ascii="Times New Roman" w:cs="Times New Roman" w:eastAsia="Times New Roman" w:hAnsi="Times New Roman"/>
            <w:sz w:val="18"/>
            <w:szCs w:val="18"/>
            <w:u w:val="single" w:color="auto"/>
            <w:color w:val="0000FF"/>
          </w:rPr>
          <w:t>Registrant’s Form 8-K filed on June 4, 2026).</w:t>
        </w:r>
      </w:hyperlink>
    </w:p>
    <w:p>
      <w:pPr>
        <w:spacing w:after="0" w:line="23" w:lineRule="exact"/>
        <w:rPr>
          <w:sz w:val="20"/>
          <w:szCs w:val="20"/>
          <w:color w:val="auto"/>
        </w:rPr>
      </w:pPr>
    </w:p>
    <w:p>
      <w:pPr>
        <w:ind w:left="1060" w:hanging="762"/>
        <w:spacing w:after="0"/>
        <w:tabs>
          <w:tab w:leader="none" w:pos="10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Filing Fee Table</w:t>
      </w:r>
      <w:r>
        <w:rPr>
          <w:rFonts w:ascii="Times New Roman" w:cs="Times New Roman" w:eastAsia="Times New Roman" w:hAnsi="Times New Roman"/>
          <w:sz w:val="18"/>
          <w:szCs w:val="18"/>
          <w:b w:val="1"/>
          <w:bCs w:val="1"/>
          <w:color w:val="000000"/>
        </w:rPr>
        <w:t>*</w:t>
      </w:r>
    </w:p>
    <w:p>
      <w:pPr>
        <w:spacing w:after="0" w:line="16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19030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June 4,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2"/>
          <w:szCs w:val="12"/>
          <w:b w:val="1"/>
          <w:bCs w:val="1"/>
          <w:color w:val="auto"/>
        </w:rPr>
        <w:t>ura</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Troy E. Wilson, Ph.D., J.D.</w:t>
            </w:r>
          </w:p>
        </w:tc>
      </w:tr>
      <w:tr>
        <w:trPr>
          <w:trHeight w:val="187"/>
        </w:trPr>
        <w:tc>
          <w:tcPr>
            <w:tcW w:w="760" w:type="dxa"/>
            <w:vAlign w:val="bottom"/>
          </w:tcPr>
          <w:p>
            <w:pPr>
              <w:spacing w:after="0"/>
              <w:rPr>
                <w:sz w:val="16"/>
                <w:szCs w:val="16"/>
                <w:color w:val="auto"/>
              </w:rPr>
            </w:pPr>
          </w:p>
        </w:tc>
        <w:tc>
          <w:tcPr>
            <w:tcW w:w="372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Troy E. Wilson, Ph.D., J.D.</w:t>
            </w:r>
          </w:p>
        </w:tc>
      </w:tr>
      <w:tr>
        <w:trPr>
          <w:trHeight w:val="238"/>
        </w:trPr>
        <w:tc>
          <w:tcPr>
            <w:tcW w:w="76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Troy E. Wilson, Ph.D., J.D. and Thomas Doyle,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or his or her substitute or substitutes, may lawfully do or cause to be done by virtue hereof.</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240"/>
          </w:cols>
          <w:pgMar w:left="320" w:top="981" w:right="339" w:bottom="1440" w:gutter="0" w:footer="0" w:header="0"/>
        </w:sectPr>
      </w:pPr>
    </w:p>
    <w:p>
      <w:pPr>
        <w:spacing w:after="0" w:line="15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571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 Troy E. Wilson, Ph.D.,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Troy E. Wilson, Ph.D., J.D.</w:t>
      </w:r>
    </w:p>
    <w:p>
      <w:pPr>
        <w:spacing w:after="0" w:line="15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Thomas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Thomas Doyle</w:t>
      </w:r>
    </w:p>
    <w:p>
      <w:pPr>
        <w:spacing w:after="0" w:line="15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Helen Collins,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Helen Collins, M.D.</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 Faheem Hasnain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Faheem Hasnain</w:t>
      </w:r>
    </w:p>
    <w:p>
      <w:pPr>
        <w:spacing w:after="0" w:line="15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Thomas Malley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Thomas Malley</w:t>
      </w:r>
    </w:p>
    <w:p>
      <w:pPr>
        <w:spacing w:after="0" w:line="15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Diane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6">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Diane Parks</w:t>
      </w:r>
    </w:p>
    <w:p>
      <w:pPr>
        <w:spacing w:after="0" w:line="15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Carol Schafer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Carol Schafer</w:t>
      </w:r>
    </w:p>
    <w:p>
      <w:pPr>
        <w:spacing w:after="0" w:line="15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Mary Szela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8">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Mary Szela</w:t>
      </w:r>
    </w:p>
    <w:p>
      <w:pPr>
        <w:spacing w:after="0" w:line="15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Michael Vasconcelles,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Michael Vasconcelles, M.D.</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40"/>
        </w:trPr>
        <w:tc>
          <w:tcPr>
            <w:tcW w:w="48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4"/>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10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4, 2026</w:t>
            </w:r>
          </w:p>
        </w:tc>
      </w:tr>
      <w:tr>
        <w:trPr>
          <w:trHeight w:val="236"/>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and Financial Officer)</w:t>
            </w: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58"/>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Finance &amp; Accounting</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4, 2026</w:t>
            </w:r>
          </w:p>
        </w:tc>
      </w:tr>
      <w:tr>
        <w:trPr>
          <w:trHeight w:val="236"/>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78"/>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4, 2026</w:t>
            </w:r>
          </w:p>
        </w:tc>
      </w:tr>
      <w:tr>
        <w:trPr>
          <w:trHeight w:val="594"/>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4, 2026</w:t>
            </w:r>
          </w:p>
        </w:tc>
      </w:tr>
      <w:tr>
        <w:trPr>
          <w:trHeight w:val="594"/>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4, 2026</w:t>
            </w:r>
          </w:p>
        </w:tc>
      </w:tr>
      <w:tr>
        <w:trPr>
          <w:trHeight w:val="594"/>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4, 2026</w:t>
            </w:r>
          </w:p>
        </w:tc>
      </w:tr>
      <w:tr>
        <w:trPr>
          <w:trHeight w:val="594"/>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4, 2026</w:t>
            </w:r>
          </w:p>
        </w:tc>
      </w:tr>
      <w:tr>
        <w:trPr>
          <w:trHeight w:val="594"/>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4, 2026</w:t>
            </w:r>
          </w:p>
        </w:tc>
      </w:tr>
      <w:tr>
        <w:trPr>
          <w:trHeight w:val="594"/>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4,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972820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120" w:space="720"/>
            <w:col w:w="7400"/>
          </w:cols>
          <w:pgMar w:left="320" w:top="981" w:right="339" w:bottom="1440" w:gutter="0" w:footer="0" w:header="0"/>
          <w:type w:val="continuous"/>
        </w:sectPr>
      </w:pPr>
    </w:p>
    <w:bookmarkStart w:id="3" w:name="page4"/>
    <w:bookmarkEnd w:id="3"/>
    <w:p>
      <w:pPr>
        <w:ind w:left="10220"/>
        <w:spacing w:after="0"/>
        <w:rPr>
          <w:sz w:val="20"/>
          <w:szCs w:val="20"/>
          <w:color w:val="auto"/>
        </w:rPr>
      </w:pPr>
      <w:r>
        <w:rPr>
          <w:rFonts w:ascii="Times New Roman" w:cs="Times New Roman" w:eastAsia="Times New Roman" w:hAnsi="Times New Roman"/>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-128270</wp:posOffset>
            </wp:positionV>
            <wp:extent cx="1165860" cy="3771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1">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Charles J. Bair</w:t>
      </w:r>
    </w:p>
    <w:p>
      <w:pPr>
        <w:spacing w:after="0" w:line="24" w:lineRule="exact"/>
        <w:rPr>
          <w:sz w:val="20"/>
          <w:szCs w:val="20"/>
          <w:color w:val="auto"/>
        </w:rPr>
      </w:pPr>
    </w:p>
    <w:p>
      <w:pPr>
        <w:ind w:left="100"/>
        <w:spacing w:after="0"/>
        <w:rPr>
          <w:sz w:val="20"/>
          <w:szCs w:val="20"/>
          <w:color w:val="auto"/>
        </w:rPr>
      </w:pPr>
      <w:r>
        <w:rPr>
          <w:rFonts w:ascii="Arial" w:cs="Arial" w:eastAsia="Arial" w:hAnsi="Arial"/>
          <w:sz w:val="14"/>
          <w:szCs w:val="14"/>
          <w:color w:val="auto"/>
        </w:rPr>
        <w:t>+1 858 550 6142</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cbair@cooley.com</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June 4, 2026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Kura Oncology,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4930 Directors Place, Suite 500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San Diego, CA 92121</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 Kura Oncology, Inc.</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have acted as counsel to Kura Oncology,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filing by the Company of a Registration Statement on Form S-8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covering the offering of up to 9,000,000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the Company’s Common Stock, par value $0.0001 per share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consisting of (i) 6,500,000 shares of Common Stock issuable pursuant to the Company’s Amended and Restated 2014 Equity Incentive Plan (the “</w:t>
      </w:r>
      <w:r>
        <w:rPr>
          <w:rFonts w:ascii="Arial" w:cs="Arial" w:eastAsia="Arial" w:hAnsi="Arial"/>
          <w:sz w:val="16"/>
          <w:szCs w:val="16"/>
          <w:b w:val="1"/>
          <w:bCs w:val="1"/>
          <w:i w:val="1"/>
          <w:iCs w:val="1"/>
          <w:color w:val="auto"/>
        </w:rPr>
        <w:t>Incentive Plan</w:t>
      </w:r>
      <w:r>
        <w:rPr>
          <w:rFonts w:ascii="Arial" w:cs="Arial" w:eastAsia="Arial" w:hAnsi="Arial"/>
          <w:sz w:val="16"/>
          <w:szCs w:val="16"/>
          <w:color w:val="auto"/>
        </w:rPr>
        <w:t>”) and (ii) 2,500,000 shares of Common Stock issuable pursuant to the Company’s Amended and Restated 2015 Employee Stock Purchase Plan (together with the Incentive Plan, the “</w:t>
      </w:r>
      <w:r>
        <w:rPr>
          <w:rFonts w:ascii="Arial" w:cs="Arial" w:eastAsia="Arial" w:hAnsi="Arial"/>
          <w:sz w:val="16"/>
          <w:szCs w:val="16"/>
          <w:b w:val="1"/>
          <w:bCs w:val="1"/>
          <w:i w:val="1"/>
          <w:iCs w:val="1"/>
          <w:color w:val="auto"/>
        </w:rPr>
        <w:t>Plans</w:t>
      </w:r>
      <w:r>
        <w:rPr>
          <w:rFonts w:ascii="Arial" w:cs="Arial" w:eastAsia="Arial" w:hAnsi="Arial"/>
          <w:sz w:val="16"/>
          <w:szCs w:val="16"/>
          <w:color w:val="auto"/>
        </w:rPr>
        <w:t>”).</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this opinion, we have examined and relied upon (a) the Registration Statement and related prospectuses, (b) the Plans, (c) the Company’s certificate of incorporation and bylaws, each as currently in effect,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37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the basis of the foregoing, and in reliance thereon, we are of the opinion that the Shares, when sold and issued in accordance with the Plans, the Registration Statement and the related prospectuses, will be validly issued, fully paid and nonassessable (except as to Shares issued pursuant to deferred payment arrangements, which will be fully paid and nonassessable when such deferred payments are made in full).</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36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Cooley LLP</w:t>
      </w:r>
    </w:p>
    <w:p>
      <w:pPr>
        <w:spacing w:after="0" w:line="221" w:lineRule="exact"/>
        <w:rPr>
          <w:sz w:val="20"/>
          <w:szCs w:val="20"/>
          <w:color w:val="auto"/>
        </w:rPr>
      </w:pPr>
    </w:p>
    <w:p>
      <w:pPr>
        <w:ind w:left="100"/>
        <w:spacing w:after="0"/>
        <w:tabs>
          <w:tab w:leader="none" w:pos="9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Charles J. Bair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12065</wp:posOffset>
            </wp:positionV>
            <wp:extent cx="19888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2">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1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Charles J. Bair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10265 SCIENCE CENTER DRIVE, SAN DIEGO, CA 92121 T: (858) 550-6000 F: (858) 550-6420 WWW.COOLEY.COM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Kura Oncology, Inc. Amended and Restated 2014 Equity Incentive Plan and the Kura Oncology, Inc. Amended and Restated 2015 Employee Stock Purchase Plan of our report dated March 5, 2026, with respect to the financial statements of Kura Oncology, Inc. included in its Annual Report (Form 10-K) for the year ended December 31, 2025, filed with the Securities and Exchange Commission.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b w:val="1"/>
          <w:bCs w:val="1"/>
          <w:color w:val="auto"/>
        </w:rPr>
        <w:t>Exhibit 107</w:t>
      </w:r>
    </w:p>
    <w:p>
      <w:pPr>
        <w:spacing w:after="0" w:line="2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17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Form S-8</w:t>
      </w:r>
    </w:p>
    <w:p>
      <w:pPr>
        <w:spacing w:after="0" w:line="1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(Form Type)</w:t>
      </w:r>
    </w:p>
    <w:p>
      <w:pPr>
        <w:spacing w:after="0" w:line="17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Kura Oncology, Inc.</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Table 1: Newly Registered Securities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280" w:type="dxa"/>
            <w:vAlign w:val="bottom"/>
            <w:tcBorders>
              <w:top w:val="single" w:sz="8" w:color="auto"/>
              <w:left w:val="single" w:sz="8" w:color="auto"/>
              <w:right w:val="single" w:sz="8" w:color="auto"/>
            </w:tcBorders>
          </w:tcPr>
          <w:p>
            <w:pPr>
              <w:spacing w:after="0"/>
              <w:rPr>
                <w:sz w:val="18"/>
                <w:szCs w:val="18"/>
                <w:color w:val="auto"/>
              </w:rPr>
            </w:pPr>
          </w:p>
        </w:tc>
        <w:tc>
          <w:tcPr>
            <w:tcW w:w="2720" w:type="dxa"/>
            <w:vAlign w:val="bottom"/>
            <w:tcBorders>
              <w:top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38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12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0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2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Price Per</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0" w:type="dxa"/>
            <w:vAlign w:val="bottom"/>
          </w:tcPr>
          <w:p>
            <w:pPr>
              <w:spacing w:after="0"/>
              <w:rPr>
                <w:sz w:val="1"/>
                <w:szCs w:val="1"/>
                <w:color w:val="auto"/>
              </w:rPr>
            </w:pPr>
          </w:p>
        </w:tc>
      </w:tr>
      <w:tr>
        <w:trPr>
          <w:trHeight w:val="238"/>
        </w:trPr>
        <w:tc>
          <w:tcPr>
            <w:tcW w:w="1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Type</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Registered(1)</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0" w:type="dxa"/>
            <w:vAlign w:val="bottom"/>
          </w:tcPr>
          <w:p>
            <w:pPr>
              <w:spacing w:after="0"/>
              <w:rPr>
                <w:sz w:val="1"/>
                <w:szCs w:val="1"/>
                <w:color w:val="auto"/>
              </w:rPr>
            </w:pPr>
          </w:p>
        </w:tc>
      </w:tr>
      <w:tr>
        <w:trPr>
          <w:trHeight w:val="145"/>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280" w:type="dxa"/>
            <w:vAlign w:val="bottom"/>
            <w:tcBorders>
              <w:left w:val="single" w:sz="8" w:color="auto"/>
              <w:right w:val="single" w:sz="8" w:color="auto"/>
            </w:tcBorders>
          </w:tcPr>
          <w:p>
            <w:pPr>
              <w:spacing w:after="0"/>
              <w:rPr>
                <w:sz w:val="13"/>
                <w:szCs w:val="13"/>
                <w:color w:val="auto"/>
              </w:rPr>
            </w:pPr>
          </w:p>
        </w:tc>
        <w:tc>
          <w:tcPr>
            <w:tcW w:w="2720" w:type="dxa"/>
            <w:vAlign w:val="bottom"/>
            <w:tcBorders>
              <w:right w:val="single" w:sz="8" w:color="auto"/>
            </w:tcBorders>
          </w:tcPr>
          <w:p>
            <w:pPr>
              <w:jc w:val="center"/>
              <w:ind w:right="11"/>
              <w:spacing w:after="0" w:line="154" w:lineRule="exact"/>
              <w:rPr>
                <w:sz w:val="20"/>
                <w:szCs w:val="20"/>
                <w:color w:val="auto"/>
              </w:rPr>
            </w:pPr>
            <w:r>
              <w:rPr>
                <w:rFonts w:ascii="Times New Roman" w:cs="Times New Roman" w:eastAsia="Times New Roman" w:hAnsi="Times New Roman"/>
                <w:sz w:val="17"/>
                <w:szCs w:val="17"/>
                <w:color w:val="auto"/>
              </w:rPr>
              <w:t>Common Stock, $0.0001 par value</w:t>
            </w:r>
          </w:p>
        </w:tc>
        <w:tc>
          <w:tcPr>
            <w:tcW w:w="13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720" w:type="dxa"/>
            <w:vAlign w:val="bottom"/>
            <w:tcBorders>
              <w:right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9"/>
              </w:rPr>
              <w:t>per share, Kura Oncology, Inc.</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457(c) and</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6,500,000(2)</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$8.80(3)</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$57,200,000.00(3)</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$7,899.32</w:t>
            </w: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vMerge w:val="continue"/>
          </w:tcPr>
          <w:p>
            <w:pPr>
              <w:spacing w:after="0"/>
              <w:rPr>
                <w:sz w:val="10"/>
                <w:szCs w:val="10"/>
                <w:color w:val="auto"/>
              </w:rPr>
            </w:pPr>
          </w:p>
        </w:tc>
        <w:tc>
          <w:tcPr>
            <w:tcW w:w="2720" w:type="dxa"/>
            <w:vAlign w:val="bottom"/>
            <w:tcBorders>
              <w:right w:val="single" w:sz="8" w:color="auto"/>
            </w:tcBorders>
            <w:vMerge w:val="restart"/>
          </w:tcPr>
          <w:p>
            <w:pPr>
              <w:jc w:val="center"/>
              <w:ind w:right="31"/>
              <w:spacing w:after="0"/>
              <w:rPr>
                <w:sz w:val="20"/>
                <w:szCs w:val="20"/>
                <w:color w:val="auto"/>
              </w:rPr>
            </w:pPr>
            <w:r>
              <w:rPr>
                <w:rFonts w:ascii="Times New Roman" w:cs="Times New Roman" w:eastAsia="Times New Roman" w:hAnsi="Times New Roman"/>
                <w:sz w:val="18"/>
                <w:szCs w:val="18"/>
                <w:color w:val="auto"/>
                <w:w w:val="99"/>
              </w:rPr>
              <w:t>Amended and Restated 2014 Equity</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Rule 457(h)</w:t>
            </w:r>
          </w:p>
        </w:tc>
        <w:tc>
          <w:tcPr>
            <w:tcW w:w="124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80" w:type="dxa"/>
            <w:vAlign w:val="bottom"/>
            <w:tcBorders>
              <w:left w:val="single" w:sz="8" w:color="auto"/>
              <w:right w:val="single" w:sz="8" w:color="auto"/>
            </w:tcBorders>
          </w:tcPr>
          <w:p>
            <w:pPr>
              <w:spacing w:after="0"/>
              <w:rPr>
                <w:sz w:val="7"/>
                <w:szCs w:val="7"/>
                <w:color w:val="auto"/>
              </w:rPr>
            </w:pPr>
          </w:p>
        </w:tc>
        <w:tc>
          <w:tcPr>
            <w:tcW w:w="272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Incentive Plan</w:t>
            </w:r>
          </w:p>
        </w:tc>
        <w:tc>
          <w:tcPr>
            <w:tcW w:w="13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80" w:type="dxa"/>
            <w:vAlign w:val="bottom"/>
            <w:tcBorders>
              <w:left w:val="single" w:sz="8" w:color="auto"/>
              <w:right w:val="single" w:sz="8" w:color="auto"/>
            </w:tcBorders>
          </w:tcPr>
          <w:p>
            <w:pPr>
              <w:spacing w:after="0"/>
              <w:rPr>
                <w:sz w:val="16"/>
                <w:szCs w:val="16"/>
                <w:color w:val="auto"/>
              </w:rPr>
            </w:pPr>
          </w:p>
        </w:tc>
        <w:tc>
          <w:tcPr>
            <w:tcW w:w="2720" w:type="dxa"/>
            <w:vAlign w:val="bottom"/>
            <w:tcBorders>
              <w:right w:val="single" w:sz="8" w:color="auto"/>
            </w:tcBorders>
          </w:tcPr>
          <w:p>
            <w:pPr>
              <w:jc w:val="center"/>
              <w:ind w:right="11"/>
              <w:spacing w:after="0" w:line="191" w:lineRule="exact"/>
              <w:rPr>
                <w:sz w:val="20"/>
                <w:szCs w:val="20"/>
                <w:color w:val="auto"/>
              </w:rPr>
            </w:pPr>
            <w:r>
              <w:rPr>
                <w:rFonts w:ascii="Times New Roman" w:cs="Times New Roman" w:eastAsia="Times New Roman" w:hAnsi="Times New Roman"/>
                <w:sz w:val="18"/>
                <w:szCs w:val="18"/>
                <w:color w:val="auto"/>
                <w:w w:val="99"/>
              </w:rPr>
              <w:t>Common Stock, $0.0001 par value</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Rule 457(c) and</w:t>
            </w:r>
          </w:p>
        </w:tc>
        <w:tc>
          <w:tcPr>
            <w:tcW w:w="124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720" w:type="dxa"/>
            <w:vAlign w:val="bottom"/>
            <w:tcBorders>
              <w:right w:val="single" w:sz="8" w:color="auto"/>
            </w:tcBorders>
            <w:vMerge w:val="restart"/>
          </w:tcPr>
          <w:p>
            <w:pPr>
              <w:jc w:val="center"/>
              <w:ind w:right="11"/>
              <w:spacing w:after="0"/>
              <w:rPr>
                <w:sz w:val="20"/>
                <w:szCs w:val="20"/>
                <w:color w:val="auto"/>
              </w:rPr>
            </w:pPr>
            <w:r>
              <w:rPr>
                <w:rFonts w:ascii="Times New Roman" w:cs="Times New Roman" w:eastAsia="Times New Roman" w:hAnsi="Times New Roman"/>
                <w:sz w:val="18"/>
                <w:szCs w:val="18"/>
                <w:color w:val="auto"/>
                <w:w w:val="99"/>
              </w:rPr>
              <w:t>per share, Kura Oncology, Inc.</w:t>
            </w:r>
          </w:p>
        </w:tc>
        <w:tc>
          <w:tcPr>
            <w:tcW w:w="136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2,500,000(4)</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$7.48(5)</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$18,700,000.00(5)</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$2,582.47</w:t>
            </w:r>
          </w:p>
        </w:tc>
        <w:tc>
          <w:tcPr>
            <w:tcW w:w="0" w:type="dxa"/>
            <w:vAlign w:val="bottom"/>
          </w:tcPr>
          <w:p>
            <w:pPr>
              <w:spacing w:after="0"/>
              <w:rPr>
                <w:sz w:val="1"/>
                <w:szCs w:val="1"/>
                <w:color w:val="auto"/>
              </w:rPr>
            </w:pPr>
          </w:p>
        </w:tc>
      </w:tr>
      <w:tr>
        <w:trPr>
          <w:trHeight w:val="81"/>
        </w:trPr>
        <w:tc>
          <w:tcPr>
            <w:tcW w:w="1280" w:type="dxa"/>
            <w:vAlign w:val="bottom"/>
            <w:tcBorders>
              <w:left w:val="single" w:sz="8" w:color="auto"/>
              <w:right w:val="single" w:sz="8" w:color="auto"/>
            </w:tcBorders>
            <w:vMerge w:val="continue"/>
          </w:tcPr>
          <w:p>
            <w:pPr>
              <w:spacing w:after="0"/>
              <w:rPr>
                <w:sz w:val="7"/>
                <w:szCs w:val="7"/>
                <w:color w:val="auto"/>
              </w:rPr>
            </w:pPr>
          </w:p>
        </w:tc>
        <w:tc>
          <w:tcPr>
            <w:tcW w:w="272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Rule 457(h)</w:t>
            </w:r>
          </w:p>
        </w:tc>
        <w:tc>
          <w:tcPr>
            <w:tcW w:w="124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280" w:type="dxa"/>
            <w:vAlign w:val="bottom"/>
            <w:tcBorders>
              <w:left w:val="single" w:sz="8" w:color="auto"/>
              <w:right w:val="single" w:sz="8" w:color="auto"/>
            </w:tcBorders>
            <w:vMerge w:val="continue"/>
          </w:tcPr>
          <w:p>
            <w:pPr>
              <w:spacing w:after="0"/>
              <w:rPr>
                <w:sz w:val="13"/>
                <w:szCs w:val="13"/>
                <w:color w:val="auto"/>
              </w:rPr>
            </w:pPr>
          </w:p>
        </w:tc>
        <w:tc>
          <w:tcPr>
            <w:tcW w:w="2720" w:type="dxa"/>
            <w:vAlign w:val="bottom"/>
            <w:tcBorders>
              <w:right w:val="single" w:sz="8" w:color="auto"/>
            </w:tcBorders>
            <w:vMerge w:val="restart"/>
          </w:tcPr>
          <w:p>
            <w:pPr>
              <w:jc w:val="center"/>
              <w:ind w:right="31"/>
              <w:spacing w:after="0"/>
              <w:rPr>
                <w:sz w:val="20"/>
                <w:szCs w:val="20"/>
                <w:color w:val="auto"/>
              </w:rPr>
            </w:pPr>
            <w:r>
              <w:rPr>
                <w:rFonts w:ascii="Times New Roman" w:cs="Times New Roman" w:eastAsia="Times New Roman" w:hAnsi="Times New Roman"/>
                <w:sz w:val="18"/>
                <w:szCs w:val="18"/>
                <w:color w:val="auto"/>
              </w:rPr>
              <w:t>Amended and Restated 2015</w:t>
            </w:r>
          </w:p>
        </w:tc>
        <w:tc>
          <w:tcPr>
            <w:tcW w:w="1360" w:type="dxa"/>
            <w:vAlign w:val="bottom"/>
            <w:tcBorders>
              <w:right w:val="single" w:sz="8" w:color="auto"/>
            </w:tcBorders>
            <w:vMerge w:val="continue"/>
          </w:tcPr>
          <w:p>
            <w:pPr>
              <w:spacing w:after="0"/>
              <w:rPr>
                <w:sz w:val="13"/>
                <w:szCs w:val="13"/>
                <w:color w:val="auto"/>
              </w:rPr>
            </w:pPr>
          </w:p>
        </w:tc>
        <w:tc>
          <w:tcPr>
            <w:tcW w:w="1240" w:type="dxa"/>
            <w:vAlign w:val="bottom"/>
            <w:tcBorders>
              <w:right w:val="single" w:sz="8" w:color="auto"/>
            </w:tcBorders>
            <w:vMerge w:val="continue"/>
          </w:tcPr>
          <w:p>
            <w:pPr>
              <w:spacing w:after="0"/>
              <w:rPr>
                <w:sz w:val="13"/>
                <w:szCs w:val="13"/>
                <w:color w:val="auto"/>
              </w:rPr>
            </w:pPr>
          </w:p>
        </w:tc>
        <w:tc>
          <w:tcPr>
            <w:tcW w:w="1020" w:type="dxa"/>
            <w:vAlign w:val="bottom"/>
            <w:tcBorders>
              <w:right w:val="single" w:sz="8" w:color="auto"/>
            </w:tcBorders>
            <w:vMerge w:val="continue"/>
          </w:tcPr>
          <w:p>
            <w:pPr>
              <w:spacing w:after="0"/>
              <w:rPr>
                <w:sz w:val="13"/>
                <w:szCs w:val="13"/>
                <w:color w:val="auto"/>
              </w:rPr>
            </w:pPr>
          </w:p>
        </w:tc>
        <w:tc>
          <w:tcPr>
            <w:tcW w:w="1380" w:type="dxa"/>
            <w:vAlign w:val="bottom"/>
            <w:tcBorders>
              <w:right w:val="single" w:sz="8" w:color="auto"/>
            </w:tcBorders>
            <w:vMerge w:val="continue"/>
          </w:tcPr>
          <w:p>
            <w:pPr>
              <w:spacing w:after="0"/>
              <w:rPr>
                <w:sz w:val="13"/>
                <w:szCs w:val="13"/>
                <w:color w:val="auto"/>
              </w:rPr>
            </w:pPr>
          </w:p>
        </w:tc>
        <w:tc>
          <w:tcPr>
            <w:tcW w:w="1000" w:type="dxa"/>
            <w:vAlign w:val="bottom"/>
            <w:tcBorders>
              <w:right w:val="single" w:sz="8" w:color="auto"/>
            </w:tcBorders>
            <w:vMerge w:val="continue"/>
          </w:tcPr>
          <w:p>
            <w:pPr>
              <w:spacing w:after="0"/>
              <w:rPr>
                <w:sz w:val="13"/>
                <w:szCs w:val="13"/>
                <w:color w:val="auto"/>
              </w:rPr>
            </w:pPr>
          </w:p>
        </w:tc>
        <w:tc>
          <w:tcPr>
            <w:tcW w:w="1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280" w:type="dxa"/>
            <w:vAlign w:val="bottom"/>
            <w:tcBorders>
              <w:left w:val="single" w:sz="8" w:color="auto"/>
              <w:right w:val="single" w:sz="8" w:color="auto"/>
            </w:tcBorders>
          </w:tcPr>
          <w:p>
            <w:pPr>
              <w:spacing w:after="0"/>
              <w:rPr>
                <w:sz w:val="5"/>
                <w:szCs w:val="5"/>
                <w:color w:val="auto"/>
              </w:rPr>
            </w:pPr>
          </w:p>
        </w:tc>
        <w:tc>
          <w:tcPr>
            <w:tcW w:w="2720" w:type="dxa"/>
            <w:vAlign w:val="bottom"/>
            <w:tcBorders>
              <w:right w:val="single" w:sz="8" w:color="auto"/>
            </w:tcBorders>
            <w:vMerge w:val="continue"/>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Employee Stock Purchase Plan</w:t>
            </w:r>
          </w:p>
        </w:tc>
        <w:tc>
          <w:tcPr>
            <w:tcW w:w="13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Total Offering</w:t>
            </w:r>
          </w:p>
        </w:tc>
        <w:tc>
          <w:tcPr>
            <w:tcW w:w="272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$75,900,000.00</w:t>
            </w:r>
          </w:p>
        </w:tc>
        <w:tc>
          <w:tcPr>
            <w:tcW w:w="100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$10,481.79</w:t>
            </w: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Amounts</w:t>
            </w:r>
          </w:p>
        </w:tc>
        <w:tc>
          <w:tcPr>
            <w:tcW w:w="272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vMerge w:val="continue"/>
          </w:tcPr>
          <w:p>
            <w:pPr>
              <w:spacing w:after="0"/>
              <w:rPr>
                <w:sz w:val="9"/>
                <w:szCs w:val="9"/>
                <w:color w:val="auto"/>
              </w:rPr>
            </w:pPr>
          </w:p>
        </w:tc>
        <w:tc>
          <w:tcPr>
            <w:tcW w:w="272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Total Fee</w:t>
            </w:r>
          </w:p>
        </w:tc>
        <w:tc>
          <w:tcPr>
            <w:tcW w:w="272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Offsets</w:t>
            </w:r>
          </w:p>
        </w:tc>
        <w:tc>
          <w:tcPr>
            <w:tcW w:w="272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vMerge w:val="continue"/>
          </w:tcPr>
          <w:p>
            <w:pPr>
              <w:spacing w:after="0"/>
              <w:rPr>
                <w:sz w:val="9"/>
                <w:szCs w:val="9"/>
                <w:color w:val="auto"/>
              </w:rPr>
            </w:pPr>
          </w:p>
        </w:tc>
        <w:tc>
          <w:tcPr>
            <w:tcW w:w="272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Net Fee Due</w:t>
            </w:r>
          </w:p>
        </w:tc>
        <w:tc>
          <w:tcPr>
            <w:tcW w:w="2720" w:type="dxa"/>
            <w:vAlign w:val="bottom"/>
            <w:tcBorders>
              <w:right w:val="single" w:sz="8" w:color="auto"/>
            </w:tcBorders>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$10,481.79</w:t>
            </w:r>
          </w:p>
        </w:tc>
        <w:tc>
          <w:tcPr>
            <w:tcW w:w="0" w:type="dxa"/>
            <w:vAlign w:val="bottom"/>
          </w:tcPr>
          <w:p>
            <w:pPr>
              <w:spacing w:after="0"/>
              <w:rPr>
                <w:sz w:val="1"/>
                <w:szCs w:val="1"/>
                <w:color w:val="auto"/>
              </w:rPr>
            </w:pPr>
          </w:p>
        </w:tc>
      </w:tr>
      <w:tr>
        <w:trPr>
          <w:trHeight w:val="54"/>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60" w:right="40" w:hanging="513"/>
        <w:spacing w:after="0" w:line="261"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shares of the Registrant’s Common Stock (“Common Stock”) that become issuable under the Kura Oncology, Inc. Amended and Restated 2014 Equity Incentive Plan (the “2014 Plan”) and the Kura Oncology, Inc. Amended and Restated 2015 Employee Stock Purchase Plan (the “2015 ESPP”) by reason of any stock dividend, stock split, recapitalization or other similar transaction.</w:t>
      </w:r>
    </w:p>
    <w:p>
      <w:pPr>
        <w:spacing w:after="0" w:line="71" w:lineRule="exact"/>
        <w:rPr>
          <w:rFonts w:ascii="Times New Roman" w:cs="Times New Roman" w:eastAsia="Times New Roman" w:hAnsi="Times New Roman"/>
          <w:sz w:val="18"/>
          <w:szCs w:val="18"/>
          <w:color w:val="auto"/>
        </w:rPr>
      </w:pPr>
    </w:p>
    <w:p>
      <w:pPr>
        <w:ind w:left="760" w:right="460" w:hanging="513"/>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that were added to the shares authorized for issuance under the 2014 Plan on June 4, 2026 pursuant to stockholder approval of an amendment to the 2014 Plan.</w:t>
      </w:r>
    </w:p>
    <w:p>
      <w:pPr>
        <w:spacing w:after="0" w:line="53" w:lineRule="exact"/>
        <w:rPr>
          <w:rFonts w:ascii="Times New Roman" w:cs="Times New Roman" w:eastAsia="Times New Roman" w:hAnsi="Times New Roman"/>
          <w:sz w:val="18"/>
          <w:szCs w:val="18"/>
          <w:color w:val="auto"/>
        </w:rPr>
      </w:pPr>
    </w:p>
    <w:p>
      <w:pPr>
        <w:jc w:val="both"/>
        <w:ind w:left="760" w:right="360" w:hanging="513"/>
        <w:spacing w:after="0" w:line="26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 is made pursuant to Rule 457(h)(1) and Rule 457(c) of the Securities Act solely for purposes of calculating the registration fee. The price per share and aggregate offering price are based upon the average of the high and low prices of the Common Stock on June 3, 2026, as reported on the Nasdaq Global Select Market.</w:t>
      </w:r>
    </w:p>
    <w:p>
      <w:pPr>
        <w:spacing w:after="0" w:line="67" w:lineRule="exact"/>
        <w:rPr>
          <w:rFonts w:ascii="Times New Roman" w:cs="Times New Roman" w:eastAsia="Times New Roman" w:hAnsi="Times New Roman"/>
          <w:sz w:val="18"/>
          <w:szCs w:val="18"/>
          <w:color w:val="auto"/>
        </w:rPr>
      </w:pPr>
    </w:p>
    <w:p>
      <w:pPr>
        <w:ind w:left="760" w:right="380" w:hanging="513"/>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that were added to the shares authorized for issuance under the 2015 ESPP on June 4, 2026 pursuant to stockholder approval of an amendment to the 2015 ESPP.</w:t>
      </w:r>
    </w:p>
    <w:p>
      <w:pPr>
        <w:spacing w:after="0" w:line="53" w:lineRule="exact"/>
        <w:rPr>
          <w:rFonts w:ascii="Times New Roman" w:cs="Times New Roman" w:eastAsia="Times New Roman" w:hAnsi="Times New Roman"/>
          <w:sz w:val="18"/>
          <w:szCs w:val="18"/>
          <w:color w:val="auto"/>
        </w:rPr>
      </w:pPr>
    </w:p>
    <w:p>
      <w:pPr>
        <w:ind w:left="760" w:hanging="513"/>
        <w:spacing w:after="0" w:line="261"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 is made pursuant to Rule 457(h)(1) and Rule 457(c) of the Securities Act solely for purposes of calculating the registration fee. The price per share and aggregate offering price are based upon the average of the high and low prices of the Common Stock on June 3, 2026, as reported on the Nasdaq Global Select Market, multiplied by 85%, which is the percentage of the price per share applicable to purchases under the 2015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0"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2"/>
      <w:numFmt w:val="decimal"/>
      <w:start w:val="107"/>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png"/><Relationship Id="rId38" Type="http://schemas.openxmlformats.org/officeDocument/2006/relationships/image" Target="media/image12.png"/><Relationship Id="rId39" Type="http://schemas.openxmlformats.org/officeDocument/2006/relationships/image" Target="media/image13.png"/><Relationship Id="rId40" Type="http://schemas.openxmlformats.org/officeDocument/2006/relationships/image" Target="media/image14.png"/><Relationship Id="rId41" Type="http://schemas.openxmlformats.org/officeDocument/2006/relationships/image" Target="media/image15.png"/><Relationship Id="rId42" Type="http://schemas.openxmlformats.org/officeDocument/2006/relationships/image" Target="media/image16.png"/><Relationship Id="rId43" Type="http://schemas.openxmlformats.org/officeDocument/2006/relationships/image" Target="media/image17.png"/><Relationship Id="rId44" Type="http://schemas.openxmlformats.org/officeDocument/2006/relationships/image" Target="media/image18.png"/><Relationship Id="rId45" Type="http://schemas.openxmlformats.org/officeDocument/2006/relationships/image" Target="media/image19.png"/><Relationship Id="rId46" Type="http://schemas.openxmlformats.org/officeDocument/2006/relationships/image" Target="media/image20.png"/><Relationship Id="rId47" Type="http://schemas.openxmlformats.org/officeDocument/2006/relationships/image" Target="media/image21.png"/><Relationship Id="rId48" Type="http://schemas.openxmlformats.org/officeDocument/2006/relationships/image" Target="media/image22.png"/><Relationship Id="rId49" Type="http://schemas.openxmlformats.org/officeDocument/2006/relationships/image" Target="media/image23.png"/><Relationship Id="rId50" Type="http://schemas.openxmlformats.org/officeDocument/2006/relationships/image" Target="media/image24.png"/><Relationship Id="rId51" Type="http://schemas.openxmlformats.org/officeDocument/2006/relationships/image" Target="media/image25.jpeg"/><Relationship Id="rId52" Type="http://schemas.openxmlformats.org/officeDocument/2006/relationships/image" Target="media/image26.png"/><Relationship Id="rId53" Type="http://schemas.openxmlformats.org/officeDocument/2006/relationships/image" Target="media/image27.png"/><Relationship Id="rId54" Type="http://schemas.openxmlformats.org/officeDocument/2006/relationships/image" Target="media/image28.png"/><Relationship Id="rId55" Type="http://schemas.openxmlformats.org/officeDocument/2006/relationships/image" Target="media/image29.png"/><Relationship Id="rId17" Type="http://schemas.openxmlformats.org/officeDocument/2006/relationships/hyperlink" Target="https://www.sec.gov/Archives/edgar/data/1422143/000119312515136158/d909001ds8.htm" TargetMode="External"/><Relationship Id="rId18" Type="http://schemas.openxmlformats.org/officeDocument/2006/relationships/hyperlink" Target="https://www.sec.gov/Archives/edgar/data/1422143/000156459016015000/kura-s8_20160317.htm" TargetMode="External"/><Relationship Id="rId19" Type="http://schemas.openxmlformats.org/officeDocument/2006/relationships/hyperlink" Target="https://www.sec.gov/Archives/edgar/data/1422143/000156459017004296/kura-s8.htm" TargetMode="External"/><Relationship Id="rId20" Type="http://schemas.openxmlformats.org/officeDocument/2006/relationships/hyperlink" Target="https://www.sec.gov/Archives/edgar/data/1422143/000156459018005302/kura-s8.htm" TargetMode="External"/><Relationship Id="rId21" Type="http://schemas.openxmlformats.org/officeDocument/2006/relationships/hyperlink" Target="https://www.sec.gov/Archives/edgar/data/1422143/000156459019006283/kura-s8.htm" TargetMode="External"/><Relationship Id="rId22" Type="http://schemas.openxmlformats.org/officeDocument/2006/relationships/hyperlink" Target="https://www.sec.gov/Archives/edgar/data/1422143/000156459020006407/kura-s8.htm" TargetMode="External"/><Relationship Id="rId23" Type="http://schemas.openxmlformats.org/officeDocument/2006/relationships/hyperlink" Target="https://www.sec.gov/Archives/edgar/data/1422143/000156459021007909/kura-s8.htm" TargetMode="External"/><Relationship Id="rId24" Type="http://schemas.openxmlformats.org/officeDocument/2006/relationships/hyperlink" Target="https://www.sec.gov/Archives/edgar/data/1422143/000156459022006787/kura-s8.htm" TargetMode="External"/><Relationship Id="rId25" Type="http://schemas.openxmlformats.org/officeDocument/2006/relationships/hyperlink" Target="https://www.sec.gov/Archives/edgar/data/1422143/000095017023004192/kura_s8_02-23-2023.htm" TargetMode="External"/><Relationship Id="rId26" Type="http://schemas.openxmlformats.org/officeDocument/2006/relationships/hyperlink" Target="https://www.sec.gov/Archives/edgar/data/1422143/000095017023026101/kura_s8_06-02-2023.htm" TargetMode="External"/><Relationship Id="rId27" Type="http://schemas.openxmlformats.org/officeDocument/2006/relationships/hyperlink" Target="https://www.sec.gov/Archives/edgar/data/1422143/000095017024070722/kura_s8_06-07-2024.htm" TargetMode="External"/><Relationship Id="rId28" Type="http://schemas.openxmlformats.org/officeDocument/2006/relationships/hyperlink" Target="https://www.sec.gov/Archives/edgar/data/1422143/000095017025083276/kura-20250606.htm" TargetMode="External"/><Relationship Id="rId31" Type="http://schemas.openxmlformats.org/officeDocument/2006/relationships/hyperlink" Target="https://www.sec.gov/Archives/edgar/data/1422143/000156459017012532/kura-ex31_7.htm" TargetMode="External"/><Relationship Id="rId32" Type="http://schemas.openxmlformats.org/officeDocument/2006/relationships/hyperlink" Target="https://www.sec.gov/Archives/edgar/data/1422143/000119312526029705/d18498dex991.htm" TargetMode="External"/><Relationship Id="rId33" Type="http://schemas.openxmlformats.org/officeDocument/2006/relationships/hyperlink" Target="https://www.sec.gov/Archives/edgar/data/1422143/000119312515089245/d885721dex41.htm" TargetMode="External"/><Relationship Id="rId34" Type="http://schemas.openxmlformats.org/officeDocument/2006/relationships/hyperlink" Target="https://www.sec.gov/Archives/edgar/data/1422143/000119312526257368/kura-ex99_1.htm" TargetMode="External"/><Relationship Id="rId35" Type="http://schemas.openxmlformats.org/officeDocument/2006/relationships/hyperlink" Target="https://www.sec.gov/Archives/edgar/data/1422143/000119312515089245/d885721dex102.htm" TargetMode="External"/><Relationship Id="rId36" Type="http://schemas.openxmlformats.org/officeDocument/2006/relationships/hyperlink" Target="https://www.sec.gov/Archives/edgar/data/1422143/000095017023004107/kura-ex10_22.htm" TargetMode="External"/><Relationship Id="rId37" Type="http://schemas.openxmlformats.org/officeDocument/2006/relationships/hyperlink" Target="https://www.sec.gov/Archives/edgar/data/1422143/000119312526257368/kura-ex99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2026-06-04T16:39:34Z</dcterms:created>
  <dcterms:modified xsi:type="dcterms:W3CDTF">2026-06-04T16:39:34Z</dcterms:modified>
</cp:coreProperties>
</file>