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KURA ONCOLOGY,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2680" w:type="dxa"/>
            <w:vAlign w:val="bottom"/>
          </w:tcPr>
          <w:p>
            <w:pPr>
              <w:jc w:val="center"/>
              <w:ind w:right="100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right"/>
              <w:ind w:right="1521"/>
              <w:spacing w:after="0"/>
              <w:rPr>
                <w:sz w:val="20"/>
                <w:szCs w:val="20"/>
                <w:color w:val="auto"/>
              </w:rPr>
            </w:pPr>
            <w:r>
              <w:rPr>
                <w:rFonts w:ascii="Times New Roman" w:cs="Times New Roman" w:eastAsia="Times New Roman" w:hAnsi="Times New Roman"/>
                <w:sz w:val="18"/>
                <w:szCs w:val="18"/>
                <w:b w:val="1"/>
                <w:bCs w:val="1"/>
                <w:color w:val="auto"/>
              </w:rPr>
              <w:t>001-37620</w:t>
            </w:r>
          </w:p>
        </w:tc>
        <w:tc>
          <w:tcPr>
            <w:tcW w:w="2280" w:type="dxa"/>
            <w:vAlign w:val="bottom"/>
          </w:tcPr>
          <w:p>
            <w:pPr>
              <w:jc w:val="center"/>
              <w:ind w:left="1125"/>
              <w:spacing w:after="0"/>
              <w:rPr>
                <w:sz w:val="20"/>
                <w:szCs w:val="20"/>
                <w:color w:val="auto"/>
              </w:rPr>
            </w:pPr>
            <w:r>
              <w:rPr>
                <w:rFonts w:ascii="Times New Roman" w:cs="Times New Roman" w:eastAsia="Times New Roman" w:hAnsi="Times New Roman"/>
                <w:sz w:val="18"/>
                <w:szCs w:val="18"/>
                <w:b w:val="1"/>
                <w:bCs w:val="1"/>
                <w:color w:val="auto"/>
              </w:rPr>
              <w:t>61-1547851</w:t>
            </w:r>
          </w:p>
        </w:tc>
      </w:tr>
      <w:tr>
        <w:trPr>
          <w:trHeight w:val="149"/>
        </w:trPr>
        <w:tc>
          <w:tcPr>
            <w:tcW w:w="2680" w:type="dxa"/>
            <w:vAlign w:val="bottom"/>
          </w:tcPr>
          <w:p>
            <w:pPr>
              <w:jc w:val="center"/>
              <w:ind w:right="1005"/>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86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25"/>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680" w:type="dxa"/>
            <w:vAlign w:val="bottom"/>
          </w:tcPr>
          <w:p>
            <w:pPr>
              <w:jc w:val="center"/>
              <w:ind w:right="100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860" w:type="dxa"/>
            <w:vAlign w:val="bottom"/>
          </w:tcPr>
          <w:p>
            <w:pPr>
              <w:spacing w:after="0"/>
              <w:rPr>
                <w:sz w:val="15"/>
                <w:szCs w:val="15"/>
                <w:color w:val="auto"/>
              </w:rPr>
            </w:pPr>
          </w:p>
        </w:tc>
        <w:tc>
          <w:tcPr>
            <w:tcW w:w="2280" w:type="dxa"/>
            <w:vAlign w:val="bottom"/>
          </w:tcPr>
          <w:p>
            <w:pPr>
              <w:jc w:val="center"/>
              <w:ind w:left="1145"/>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bl>
    <w:p>
      <w:pPr>
        <w:spacing w:after="0" w:line="19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4930 Directors Place, Suite 500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San Diego, CA</w:t>
      </w:r>
    </w:p>
    <w:p>
      <w:pPr>
        <w:spacing w:after="0" w:line="3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9" w:lineRule="exact"/>
        <w:rPr>
          <w:sz w:val="24"/>
          <w:szCs w:val="24"/>
          <w:color w:val="auto"/>
        </w:rPr>
      </w:pPr>
    </w:p>
    <w:tbl>
      <w:tblPr>
        <w:tblLayout w:type="fixed"/>
        <w:tblInd w:w="2600" w:type="dxa"/>
        <w:tblCellMar>
          <w:top w:w="0" w:type="dxa"/>
          <w:left w:w="0" w:type="dxa"/>
          <w:bottom w:w="0" w:type="dxa"/>
          <w:right w:w="0" w:type="dxa"/>
        </w:tblCellMar>
      </w:tblPr>
      <w:tr>
        <w:trPr>
          <w:trHeight w:val="178"/>
        </w:trPr>
        <w:tc>
          <w:tcPr>
            <w:tcW w:w="4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00" w:type="dxa"/>
            <w:vAlign w:val="bottom"/>
            <w:vMerge w:val="restart"/>
          </w:tcPr>
          <w:p>
            <w:pPr>
              <w:ind w:left="2080"/>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64"/>
        </w:trPr>
        <w:tc>
          <w:tcPr>
            <w:tcW w:w="438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500-8800</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860" w:hanging="75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860" w:hanging="75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860" w:hanging="75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860" w:hanging="755"/>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3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1"/>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154"/>
        </w:trPr>
        <w:tc>
          <w:tcPr>
            <w:tcW w:w="3140" w:type="dxa"/>
            <w:vAlign w:val="bottom"/>
            <w:tcBorders>
              <w:left w:val="single" w:sz="8" w:color="auto"/>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Common Stock, par value $0.0001 per</w:t>
            </w:r>
          </w:p>
        </w:tc>
        <w:tc>
          <w:tcPr>
            <w:tcW w:w="248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KURA</w:t>
            </w:r>
          </w:p>
        </w:tc>
        <w:tc>
          <w:tcPr>
            <w:tcW w:w="562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The Nasdaq Global Select Market</w:t>
            </w:r>
          </w:p>
        </w:tc>
      </w:tr>
      <w:tr>
        <w:trPr>
          <w:trHeight w:val="234"/>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248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 w:name="page2"/>
    <w:bookmarkEnd w:id="1"/>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517"/>
        <w:spacing w:after="0" w:line="258" w:lineRule="auto"/>
        <w:tabs>
          <w:tab w:leader="none" w:pos="753"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 xml:space="preserve">On April 9, 2026, our Board of Directors (the “Board”), upon the recommendation of the Compensation Committee of the Board, amended the Kura Oncology, Inc. Amended and Restated 2014 Equity Incentive Plan (the “2014 Plan”) and the 2015 Employee Stock Purchase Plan (the “ESPP”), in each case subject to stockholder approval, to, among other things, increase the number of shares of our common stock authorized for issuance under the 2014 Plan by 6,500,000 shares (the “Amended 2014 Plan”) and increase the number of shares of our common stock authorized for issuance under the ESPP by 2,500,000 shares (the “Amended ESPP”), respectively. </w:t>
      </w:r>
      <w:r>
        <w:rPr>
          <w:rFonts w:ascii="Times New Roman" w:cs="Times New Roman" w:eastAsia="Times New Roman" w:hAnsi="Times New Roman"/>
          <w:sz w:val="18"/>
          <w:szCs w:val="18"/>
          <w:color w:val="212529"/>
        </w:rPr>
        <w:t>On June 4</w:t>
      </w:r>
      <w:r>
        <w:rPr>
          <w:rFonts w:ascii="Times New Roman" w:cs="Times New Roman" w:eastAsia="Times New Roman" w:hAnsi="Times New Roman"/>
          <w:sz w:val="18"/>
          <w:szCs w:val="18"/>
          <w:color w:val="auto"/>
        </w:rPr>
        <w:t>, 2026</w:t>
      </w:r>
      <w:r>
        <w:rPr>
          <w:rFonts w:ascii="Times New Roman" w:cs="Times New Roman" w:eastAsia="Times New Roman" w:hAnsi="Times New Roman"/>
          <w:sz w:val="18"/>
          <w:szCs w:val="18"/>
          <w:color w:val="212529"/>
        </w:rPr>
        <w:t>, our stockholders approved the Amend</w:t>
      </w:r>
      <w:r>
        <w:rPr>
          <w:rFonts w:ascii="Times New Roman" w:cs="Times New Roman" w:eastAsia="Times New Roman" w:hAnsi="Times New Roman"/>
          <w:sz w:val="18"/>
          <w:szCs w:val="18"/>
          <w:color w:val="auto"/>
        </w:rPr>
        <w:t>ed 2014 Plan and the Amended ESPP.</w:t>
      </w:r>
    </w:p>
    <w:p>
      <w:pPr>
        <w:spacing w:after="0" w:line="14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212529"/>
        </w:rPr>
        <w:t>Complete copies of the Amended 2014 Plan and the Amended ESPP are filed herewith as Exhibit 99.1 and 99.2, respectively. The above summaries of the Amended 2014 Plan and Amended ESPP do not purport to be complete and are qualified in their entirety by reference to such exhibits.</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4, 2026, we held our Annual Meeting of Stockholders (the “Annual Meeting”). As of the close of business on April 6, 2026, the record date for the Annual Meeting, there were 88,762,704 shares of common stock outstanding, of which 69,778,580 shares of common stock were present virtually or represented by proxy at the Annual Meeting.</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12529"/>
        </w:rPr>
        <w:t>At the Annual Meeting, stockholders:</w:t>
      </w:r>
    </w:p>
    <w:p>
      <w:pPr>
        <w:spacing w:after="0" w:line="185" w:lineRule="exact"/>
        <w:rPr>
          <w:sz w:val="20"/>
          <w:szCs w:val="20"/>
          <w:color w:val="auto"/>
        </w:rPr>
      </w:pPr>
    </w:p>
    <w:p>
      <w:pPr>
        <w:ind w:firstLine="517"/>
        <w:spacing w:after="0" w:line="282" w:lineRule="auto"/>
        <w:tabs>
          <w:tab w:leader="none" w:pos="778"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elected Diane Parks, Mary T. Szela and Michael J. Vasconcelles, M.D. as Class III directors to hold office until our 2029 Annual Meeting of Stockholders </w:t>
      </w:r>
      <w:r>
        <w:rPr>
          <w:rFonts w:ascii="Times New Roman" w:cs="Times New Roman" w:eastAsia="Times New Roman" w:hAnsi="Times New Roman"/>
          <w:sz w:val="18"/>
          <w:szCs w:val="18"/>
          <w:color w:val="000000"/>
        </w:rPr>
        <w:t>and until their respective successors are duly elected and qualified, or until their earlier death, resignation or removal</w:t>
      </w:r>
      <w:r>
        <w:rPr>
          <w:rFonts w:ascii="Times New Roman" w:cs="Times New Roman" w:eastAsia="Times New Roman" w:hAnsi="Times New Roman"/>
          <w:sz w:val="18"/>
          <w:szCs w:val="18"/>
          <w:color w:val="212529"/>
        </w:rPr>
        <w:t>;</w:t>
      </w:r>
    </w:p>
    <w:p>
      <w:pPr>
        <w:spacing w:after="0" w:line="121" w:lineRule="exact"/>
        <w:rPr>
          <w:rFonts w:ascii="Times New Roman" w:cs="Times New Roman" w:eastAsia="Times New Roman" w:hAnsi="Times New Roman"/>
          <w:sz w:val="18"/>
          <w:szCs w:val="18"/>
          <w:color w:val="212529"/>
        </w:rPr>
      </w:pPr>
    </w:p>
    <w:p>
      <w:pPr>
        <w:ind w:left="780" w:hanging="263"/>
        <w:spacing w:after="0"/>
        <w:tabs>
          <w:tab w:leader="none" w:pos="7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ratified the appointment of Ernst &amp; Young LLP as our independent registered public accounting firm for the fiscal year ending December 31,</w:t>
      </w:r>
    </w:p>
    <w:p>
      <w:pPr>
        <w:spacing w:after="0" w:line="27" w:lineRule="exact"/>
        <w:rPr>
          <w:rFonts w:ascii="Times New Roman" w:cs="Times New Roman" w:eastAsia="Times New Roman" w:hAnsi="Times New Roman"/>
          <w:sz w:val="18"/>
          <w:szCs w:val="18"/>
          <w:color w:val="212529"/>
        </w:rPr>
      </w:pPr>
    </w:p>
    <w:p>
      <w:pPr>
        <w:spacing w:after="0"/>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2026;</w:t>
      </w:r>
    </w:p>
    <w:p>
      <w:pPr>
        <w:spacing w:after="0" w:line="179" w:lineRule="exact"/>
        <w:rPr>
          <w:rFonts w:ascii="Times New Roman" w:cs="Times New Roman" w:eastAsia="Times New Roman" w:hAnsi="Times New Roman"/>
          <w:sz w:val="18"/>
          <w:szCs w:val="18"/>
          <w:color w:val="212529"/>
        </w:rPr>
      </w:pPr>
    </w:p>
    <w:p>
      <w:pPr>
        <w:ind w:left="780" w:hanging="263"/>
        <w:spacing w:after="0"/>
        <w:tabs>
          <w:tab w:leader="none" w:pos="7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approved, on an advisory basis, the compensation paid to our named executive officers (“Say-on-Pay”) as disclosed in the proxy statement;</w:t>
      </w:r>
    </w:p>
    <w:p>
      <w:pPr>
        <w:spacing w:after="0" w:line="184" w:lineRule="exact"/>
        <w:rPr>
          <w:rFonts w:ascii="Times New Roman" w:cs="Times New Roman" w:eastAsia="Times New Roman" w:hAnsi="Times New Roman"/>
          <w:sz w:val="18"/>
          <w:szCs w:val="18"/>
          <w:color w:val="212529"/>
        </w:rPr>
      </w:pPr>
    </w:p>
    <w:p>
      <w:pPr>
        <w:ind w:left="780" w:hanging="263"/>
        <w:spacing w:after="0"/>
        <w:tabs>
          <w:tab w:leader="none" w:pos="780" w:val="left"/>
        </w:tabs>
        <w:numPr>
          <w:ilvl w:val="0"/>
          <w:numId w:val="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indicated, on an advisory basis, the preferred frequency of holding future Say-on-Pay advisory votes on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compensation;</w:t>
      </w:r>
    </w:p>
    <w:p>
      <w:pPr>
        <w:spacing w:after="0" w:line="166" w:lineRule="exact"/>
        <w:rPr>
          <w:sz w:val="20"/>
          <w:szCs w:val="20"/>
          <w:color w:val="auto"/>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approved our Amended 2014 Plan; and</w:t>
      </w:r>
    </w:p>
    <w:p>
      <w:pPr>
        <w:spacing w:after="0" w:line="198" w:lineRule="exact"/>
        <w:rPr>
          <w:rFonts w:ascii="Times New Roman" w:cs="Times New Roman" w:eastAsia="Times New Roman" w:hAnsi="Times New Roman"/>
          <w:sz w:val="18"/>
          <w:szCs w:val="18"/>
          <w:color w:val="212529"/>
        </w:rPr>
      </w:pPr>
    </w:p>
    <w:p>
      <w:pPr>
        <w:ind w:left="780" w:hanging="263"/>
        <w:spacing w:after="0"/>
        <w:tabs>
          <w:tab w:leader="none" w:pos="780" w:val="left"/>
        </w:tabs>
        <w:numPr>
          <w:ilvl w:val="0"/>
          <w:numId w:val="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approved our Amended ESPP.</w:t>
      </w:r>
    </w:p>
    <w:p>
      <w:pPr>
        <w:spacing w:after="0" w:line="18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12529"/>
        </w:rPr>
        <w:t xml:space="preserve">The following sets </w:t>
      </w:r>
      <w:r>
        <w:rPr>
          <w:rFonts w:ascii="Times New Roman" w:cs="Times New Roman" w:eastAsia="Times New Roman" w:hAnsi="Times New Roman"/>
          <w:sz w:val="18"/>
          <w:szCs w:val="18"/>
          <w:color w:val="000000"/>
        </w:rPr>
        <w:t>forth detailed information regarding the final results of the voting for the Annual Meeting (with any fractional share amounts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rounded to the nearest whole number):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1.</w:t>
            </w: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Election of Directors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Name of Director Elected</w:t>
            </w:r>
          </w:p>
        </w:tc>
        <w:tc>
          <w:tcPr>
            <w:tcW w:w="120" w:type="dxa"/>
            <w:vAlign w:val="bottom"/>
          </w:tcPr>
          <w:p>
            <w:pPr>
              <w:spacing w:after="0"/>
              <w:rPr>
                <w:sz w:val="22"/>
                <w:szCs w:val="22"/>
                <w:color w:val="auto"/>
              </w:rPr>
            </w:pPr>
          </w:p>
        </w:tc>
        <w:tc>
          <w:tcPr>
            <w:tcW w:w="17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For</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20" w:type="dxa"/>
            <w:vAlign w:val="bottom"/>
          </w:tcPr>
          <w:p>
            <w:pPr>
              <w:spacing w:after="0"/>
              <w:rPr>
                <w:sz w:val="22"/>
                <w:szCs w:val="22"/>
                <w:color w:val="auto"/>
              </w:rPr>
            </w:pPr>
          </w:p>
        </w:tc>
        <w:tc>
          <w:tcPr>
            <w:tcW w:w="31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Borders>
              <w:top w:val="single" w:sz="8" w:color="auto"/>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Diane Parks</w:t>
            </w:r>
          </w:p>
        </w:tc>
        <w:tc>
          <w:tcPr>
            <w:tcW w:w="1860" w:type="dxa"/>
            <w:vAlign w:val="bottom"/>
            <w:tcBorders>
              <w:top w:val="single" w:sz="8" w:color="auto"/>
            </w:tcBorders>
            <w:gridSpan w:val="4"/>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44,060,724</w:t>
            </w:r>
          </w:p>
        </w:tc>
        <w:tc>
          <w:tcPr>
            <w:tcW w:w="5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gridSpan w:val="3"/>
            <w:shd w:val="clear" w:color="auto" w:fill="CFF0FC"/>
          </w:tcPr>
          <w:p>
            <w:pPr>
              <w:jc w:val="center"/>
              <w:ind w:right="468"/>
              <w:spacing w:after="0"/>
              <w:rPr>
                <w:sz w:val="20"/>
                <w:szCs w:val="20"/>
                <w:color w:val="auto"/>
              </w:rPr>
            </w:pPr>
            <w:r>
              <w:rPr>
                <w:rFonts w:ascii="Times New Roman" w:cs="Times New Roman" w:eastAsia="Times New Roman" w:hAnsi="Times New Roman"/>
                <w:sz w:val="18"/>
                <w:szCs w:val="18"/>
                <w:color w:val="auto"/>
              </w:rPr>
              <w:t>14,620,308</w:t>
            </w:r>
          </w:p>
        </w:tc>
        <w:tc>
          <w:tcPr>
            <w:tcW w:w="2060" w:type="dxa"/>
            <w:vAlign w:val="bottom"/>
            <w:tcBorders>
              <w:top w:val="single" w:sz="8" w:color="auto"/>
            </w:tcBorders>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11,097,548</w:t>
            </w: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Mary T. Szela</w:t>
            </w:r>
          </w:p>
        </w:tc>
        <w:tc>
          <w:tcPr>
            <w:tcW w:w="186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8"/>
              </w:rPr>
              <w:t>38,859,502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3"/>
          </w:tcPr>
          <w:p>
            <w:pPr>
              <w:jc w:val="center"/>
              <w:ind w:right="468"/>
              <w:spacing w:after="0"/>
              <w:rPr>
                <w:sz w:val="20"/>
                <w:szCs w:val="20"/>
                <w:color w:val="auto"/>
              </w:rPr>
            </w:pPr>
            <w:r>
              <w:rPr>
                <w:rFonts w:ascii="Times New Roman" w:cs="Times New Roman" w:eastAsia="Times New Roman" w:hAnsi="Times New Roman"/>
                <w:sz w:val="18"/>
                <w:szCs w:val="18"/>
                <w:color w:val="auto"/>
              </w:rPr>
              <w:t>19,821,530</w:t>
            </w:r>
          </w:p>
        </w:tc>
        <w:tc>
          <w:tcPr>
            <w:tcW w:w="20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11,097,548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4"/>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Michael J. Vasconcelles, M.D.</w:t>
            </w:r>
          </w:p>
        </w:tc>
        <w:tc>
          <w:tcPr>
            <w:tcW w:w="1860" w:type="dxa"/>
            <w:vAlign w:val="bottom"/>
            <w:gridSpan w:val="4"/>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8"/>
              </w:rPr>
              <w:t>58,169,894</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center"/>
              <w:ind w:right="468"/>
              <w:spacing w:after="0"/>
              <w:rPr>
                <w:sz w:val="20"/>
                <w:szCs w:val="20"/>
                <w:color w:val="auto"/>
              </w:rPr>
            </w:pPr>
            <w:r>
              <w:rPr>
                <w:rFonts w:ascii="Times New Roman" w:cs="Times New Roman" w:eastAsia="Times New Roman" w:hAnsi="Times New Roman"/>
                <w:sz w:val="18"/>
                <w:szCs w:val="18"/>
                <w:color w:val="auto"/>
                <w:w w:val="99"/>
              </w:rPr>
              <w:t>511,138</w:t>
            </w:r>
          </w:p>
        </w:tc>
        <w:tc>
          <w:tcPr>
            <w:tcW w:w="206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11,097,548</w:t>
            </w:r>
          </w:p>
        </w:tc>
        <w:tc>
          <w:tcPr>
            <w:tcW w:w="28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2.</w:t>
            </w:r>
          </w:p>
        </w:tc>
        <w:tc>
          <w:tcPr>
            <w:tcW w:w="7060" w:type="dxa"/>
            <w:vAlign w:val="bottom"/>
            <w:gridSpan w:val="15"/>
          </w:tcPr>
          <w:p>
            <w:pPr>
              <w:ind w:left="20"/>
              <w:spacing w:after="0"/>
              <w:rPr>
                <w:sz w:val="20"/>
                <w:szCs w:val="20"/>
                <w:color w:val="auto"/>
              </w:rPr>
            </w:pPr>
            <w:r>
              <w:rPr>
                <w:rFonts w:ascii="Times New Roman" w:cs="Times New Roman" w:eastAsia="Times New Roman" w:hAnsi="Times New Roman"/>
                <w:sz w:val="18"/>
                <w:szCs w:val="18"/>
                <w:i w:val="1"/>
                <w:iCs w:val="1"/>
                <w:color w:val="auto"/>
              </w:rPr>
              <w:t>Ratification of the Appointment of Independent Registered Public Accounting Firm</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2"/>
                <w:szCs w:val="22"/>
                <w:color w:val="auto"/>
              </w:rPr>
            </w:pPr>
          </w:p>
        </w:tc>
        <w:tc>
          <w:tcPr>
            <w:tcW w:w="17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Pr>
          <w:p>
            <w:pPr>
              <w:spacing w:after="0"/>
              <w:rPr>
                <w:sz w:val="22"/>
                <w:szCs w:val="22"/>
                <w:color w:val="auto"/>
              </w:rPr>
            </w:pPr>
          </w:p>
        </w:tc>
        <w:tc>
          <w:tcPr>
            <w:tcW w:w="22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960" w:type="dxa"/>
            <w:vAlign w:val="bottom"/>
          </w:tcPr>
          <w:p>
            <w:pPr>
              <w:spacing w:after="0"/>
              <w:rPr>
                <w:sz w:val="22"/>
                <w:szCs w:val="22"/>
                <w:color w:val="auto"/>
              </w:rPr>
            </w:pPr>
          </w:p>
        </w:tc>
      </w:tr>
      <w:tr>
        <w:trPr>
          <w:trHeight w:val="209"/>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69,385,497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center"/>
              <w:ind w:left="810"/>
              <w:spacing w:after="0"/>
              <w:rPr>
                <w:sz w:val="20"/>
                <w:szCs w:val="20"/>
                <w:color w:val="auto"/>
              </w:rPr>
            </w:pPr>
            <w:r>
              <w:rPr>
                <w:rFonts w:ascii="Times New Roman" w:cs="Times New Roman" w:eastAsia="Times New Roman" w:hAnsi="Times New Roman"/>
                <w:sz w:val="18"/>
                <w:szCs w:val="18"/>
                <w:color w:val="auto"/>
                <w:w w:val="99"/>
              </w:rPr>
              <w:t>140,763</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252,320</w:t>
            </w:r>
          </w:p>
        </w:tc>
        <w:tc>
          <w:tcPr>
            <w:tcW w:w="12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spacing w:after="0"/>
              <w:rPr>
                <w:sz w:val="18"/>
                <w:szCs w:val="18"/>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3.</w:t>
            </w:r>
          </w:p>
        </w:tc>
        <w:tc>
          <w:tcPr>
            <w:tcW w:w="4180" w:type="dxa"/>
            <w:vAlign w:val="bottom"/>
            <w:gridSpan w:val="9"/>
          </w:tcPr>
          <w:p>
            <w:pPr>
              <w:ind w:left="20"/>
              <w:spacing w:after="0"/>
              <w:rPr>
                <w:sz w:val="20"/>
                <w:szCs w:val="20"/>
                <w:color w:val="auto"/>
              </w:rPr>
            </w:pPr>
            <w:r>
              <w:rPr>
                <w:rFonts w:ascii="Times New Roman" w:cs="Times New Roman" w:eastAsia="Times New Roman" w:hAnsi="Times New Roman"/>
                <w:sz w:val="18"/>
                <w:szCs w:val="18"/>
                <w:i w:val="1"/>
                <w:iCs w:val="1"/>
                <w:color w:val="auto"/>
              </w:rPr>
              <w:t>Advisory Vote on Executive Compensation</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2"/>
                <w:szCs w:val="22"/>
                <w:color w:val="auto"/>
              </w:rPr>
            </w:pPr>
          </w:p>
        </w:tc>
        <w:tc>
          <w:tcPr>
            <w:tcW w:w="17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Pr>
          <w:p>
            <w:pPr>
              <w:spacing w:after="0"/>
              <w:rPr>
                <w:sz w:val="22"/>
                <w:szCs w:val="22"/>
                <w:color w:val="auto"/>
              </w:rPr>
            </w:pPr>
          </w:p>
        </w:tc>
        <w:tc>
          <w:tcPr>
            <w:tcW w:w="22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960" w:type="dxa"/>
            <w:vAlign w:val="bottom"/>
          </w:tcPr>
          <w:p>
            <w:pPr>
              <w:spacing w:after="0"/>
              <w:rPr>
                <w:sz w:val="22"/>
                <w:szCs w:val="22"/>
                <w:color w:val="auto"/>
              </w:rPr>
            </w:pPr>
          </w:p>
        </w:tc>
      </w:tr>
      <w:tr>
        <w:trPr>
          <w:trHeight w:val="209"/>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48,783,834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4"/>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9"/>
              </w:rPr>
              <w:t>1,141,854</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8,755,344</w:t>
            </w:r>
          </w:p>
        </w:tc>
        <w:tc>
          <w:tcPr>
            <w:tcW w:w="206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rPr>
              <w:t>11,097,548</w:t>
            </w:r>
          </w:p>
        </w:tc>
        <w:tc>
          <w:tcPr>
            <w:tcW w:w="28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4.</w:t>
            </w:r>
          </w:p>
        </w:tc>
        <w:tc>
          <w:tcPr>
            <w:tcW w:w="7060" w:type="dxa"/>
            <w:vAlign w:val="bottom"/>
            <w:gridSpan w:val="15"/>
          </w:tcPr>
          <w:p>
            <w:pPr>
              <w:ind w:left="20"/>
              <w:spacing w:after="0"/>
              <w:rPr>
                <w:sz w:val="20"/>
                <w:szCs w:val="20"/>
                <w:color w:val="auto"/>
              </w:rPr>
            </w:pPr>
            <w:r>
              <w:rPr>
                <w:rFonts w:ascii="Times New Roman" w:cs="Times New Roman" w:eastAsia="Times New Roman" w:hAnsi="Times New Roman"/>
                <w:sz w:val="18"/>
                <w:szCs w:val="18"/>
                <w:i w:val="1"/>
                <w:iCs w:val="1"/>
                <w:color w:val="auto"/>
              </w:rPr>
              <w:t>Advisory Indication on Frequency of Stockholder Advisory Votes on Executive Compensation</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240" w:type="dxa"/>
            <w:vAlign w:val="bottom"/>
            <w:gridSpan w:val="2"/>
          </w:tcPr>
          <w:p>
            <w:pPr>
              <w:spacing w:after="0"/>
              <w:rPr>
                <w:sz w:val="22"/>
                <w:szCs w:val="22"/>
                <w:color w:val="auto"/>
              </w:rPr>
            </w:pPr>
          </w:p>
        </w:tc>
      </w:tr>
      <w:tr>
        <w:trPr>
          <w:trHeight w:val="210"/>
        </w:trPr>
        <w:tc>
          <w:tcPr>
            <w:tcW w:w="8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48,362,762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54,055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1,586,672</w:t>
            </w:r>
          </w:p>
        </w:tc>
        <w:tc>
          <w:tcPr>
            <w:tcW w:w="176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8,677,543</w:t>
            </w:r>
          </w:p>
        </w:tc>
        <w:tc>
          <w:tcPr>
            <w:tcW w:w="206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rPr>
              <w:t>11,097,548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195"/>
        </w:trPr>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right="260"/>
        <w:spacing w:after="0" w:line="282" w:lineRule="auto"/>
        <w:rPr>
          <w:sz w:val="20"/>
          <w:szCs w:val="20"/>
          <w:color w:val="auto"/>
        </w:rPr>
      </w:pPr>
      <w:r>
        <w:rPr>
          <w:rFonts w:ascii="Times New Roman" w:cs="Times New Roman" w:eastAsia="Times New Roman" w:hAnsi="Times New Roman"/>
          <w:sz w:val="18"/>
          <w:szCs w:val="18"/>
          <w:color w:val="auto"/>
        </w:rPr>
        <w:t>Based on these results and consistent with our recommendation, our Board of Directors has determined that we will conduct future stockholder advisory votes on the compensation of our named executive officers every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5. Approval of our Amended 2014 Plan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5"/>
                <w:szCs w:val="15"/>
                <w:color w:val="auto"/>
              </w:rPr>
            </w:pPr>
          </w:p>
        </w:tc>
        <w:tc>
          <w:tcPr>
            <w:tcW w:w="620" w:type="dxa"/>
            <w:vAlign w:val="bottom"/>
            <w:tcBorders>
              <w:bottom w:val="single" w:sz="8" w:color="auto"/>
            </w:tcBorders>
            <w:gridSpan w:val="2"/>
          </w:tcPr>
          <w:p>
            <w:pPr>
              <w:spacing w:after="0"/>
              <w:rPr>
                <w:sz w:val="15"/>
                <w:szCs w:val="15"/>
                <w:color w:val="auto"/>
              </w:rPr>
            </w:pPr>
          </w:p>
        </w:tc>
        <w:tc>
          <w:tcPr>
            <w:tcW w:w="16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0" w:type="dxa"/>
            <w:vAlign w:val="bottom"/>
          </w:tcPr>
          <w:p>
            <w:pPr>
              <w:spacing w:after="0"/>
              <w:rPr>
                <w:sz w:val="15"/>
                <w:szCs w:val="15"/>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960" w:type="dxa"/>
            <w:vAlign w:val="bottom"/>
            <w:gridSpan w:val="2"/>
          </w:tcPr>
          <w:p>
            <w:pPr>
              <w:spacing w:after="0"/>
              <w:rPr>
                <w:sz w:val="15"/>
                <w:szCs w:val="15"/>
                <w:color w:val="auto"/>
              </w:rPr>
            </w:pPr>
          </w:p>
        </w:tc>
      </w:tr>
      <w:tr>
        <w:trPr>
          <w:trHeight w:val="209"/>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48,402,820</w:t>
            </w:r>
          </w:p>
        </w:tc>
        <w:tc>
          <w:tcPr>
            <w:tcW w:w="120" w:type="dxa"/>
            <w:vAlign w:val="bottom"/>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10,099,296</w:t>
            </w:r>
          </w:p>
        </w:tc>
        <w:tc>
          <w:tcPr>
            <w:tcW w:w="2380" w:type="dxa"/>
            <w:vAlign w:val="bottom"/>
            <w:gridSpan w:val="3"/>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178,916</w:t>
            </w:r>
          </w:p>
        </w:tc>
        <w:tc>
          <w:tcPr>
            <w:tcW w:w="23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11,097,548</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2"/>
        </w:trPr>
        <w:tc>
          <w:tcPr>
            <w:tcW w:w="394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Proposal 6. Approval of our Amended ESPP</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6"/>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22"/>
                <w:szCs w:val="22"/>
                <w:color w:val="auto"/>
              </w:rPr>
            </w:pPr>
          </w:p>
        </w:tc>
        <w:tc>
          <w:tcPr>
            <w:tcW w:w="620" w:type="dxa"/>
            <w:vAlign w:val="bottom"/>
            <w:tcBorders>
              <w:bottom w:val="single" w:sz="8" w:color="auto"/>
            </w:tcBorders>
            <w:gridSpan w:val="2"/>
          </w:tcPr>
          <w:p>
            <w:pPr>
              <w:spacing w:after="0"/>
              <w:rPr>
                <w:sz w:val="22"/>
                <w:szCs w:val="22"/>
                <w:color w:val="auto"/>
              </w:rPr>
            </w:pPr>
          </w:p>
        </w:tc>
        <w:tc>
          <w:tcPr>
            <w:tcW w:w="16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0" w:type="dxa"/>
            <w:vAlign w:val="bottom"/>
          </w:tcPr>
          <w:p>
            <w:pPr>
              <w:spacing w:after="0"/>
              <w:rPr>
                <w:sz w:val="22"/>
                <w:szCs w:val="22"/>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0" w:type="dxa"/>
            <w:vAlign w:val="bottom"/>
          </w:tcPr>
          <w:p>
            <w:pPr>
              <w:spacing w:after="0"/>
              <w:rPr>
                <w:sz w:val="22"/>
                <w:szCs w:val="22"/>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960" w:type="dxa"/>
            <w:vAlign w:val="bottom"/>
            <w:gridSpan w:val="2"/>
          </w:tcPr>
          <w:p>
            <w:pPr>
              <w:spacing w:after="0"/>
              <w:rPr>
                <w:sz w:val="22"/>
                <w:szCs w:val="22"/>
                <w:color w:val="auto"/>
              </w:rPr>
            </w:pPr>
          </w:p>
        </w:tc>
      </w:tr>
      <w:tr>
        <w:trPr>
          <w:trHeight w:val="210"/>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58,306,174</w:t>
            </w:r>
          </w:p>
        </w:tc>
        <w:tc>
          <w:tcPr>
            <w:tcW w:w="120" w:type="dxa"/>
            <w:vAlign w:val="bottom"/>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213,434</w:t>
            </w:r>
          </w:p>
        </w:tc>
        <w:tc>
          <w:tcPr>
            <w:tcW w:w="2380" w:type="dxa"/>
            <w:vAlign w:val="bottom"/>
            <w:gridSpan w:val="3"/>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161,424</w:t>
            </w:r>
          </w:p>
        </w:tc>
        <w:tc>
          <w:tcPr>
            <w:tcW w:w="23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11,097,548</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Item 9.01</w:t>
            </w:r>
          </w:p>
        </w:tc>
        <w:tc>
          <w:tcPr>
            <w:tcW w:w="60" w:type="dxa"/>
            <w:vAlign w:val="bottom"/>
          </w:tcPr>
          <w:p>
            <w:pPr>
              <w:spacing w:after="0"/>
              <w:rPr>
                <w:sz w:val="24"/>
                <w:szCs w:val="24"/>
                <w:color w:val="auto"/>
              </w:rPr>
            </w:pPr>
          </w:p>
        </w:tc>
        <w:tc>
          <w:tcPr>
            <w:tcW w:w="29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212529"/>
              </w:rPr>
              <w:t>Financial Statements and Exhibits.</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(d) Exhibits.</w:t>
            </w: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6"/>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Kura Oncology, Inc. Amended and Restated 2014 Equity Incentive Plan and Forms of Option Agreement, Notice of Exercise and Stock</w:t>
            </w: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Option Grant Notice thereunder.</w:t>
            </w: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340" w:type="dxa"/>
            <w:vAlign w:val="bottom"/>
            <w:tcBorders>
              <w:right w:val="single" w:sz="8" w:color="0000EE"/>
            </w:tcBorders>
            <w:gridSpan w:val="3"/>
            <w:shd w:val="clear" w:color="auto" w:fill="0000FF"/>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Kura Oncology, Inc. Amended and Restated 2015 Employee Stock Purchase Plan.</w:t>
            </w: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900" w:type="dxa"/>
            <w:vAlign w:val="bottom"/>
            <w:gridSpan w:val="7"/>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019"/>
        </w:trPr>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KURA ONCOLOGY,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Teresa Bair</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Teresa Bair</w:t>
            </w:r>
          </w:p>
        </w:tc>
      </w:tr>
      <w:tr>
        <w:trPr>
          <w:trHeight w:val="238"/>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Legal Officer</w:t>
            </w:r>
          </w:p>
        </w:tc>
      </w:tr>
      <w:tr>
        <w:trPr>
          <w:trHeight w:val="1411"/>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K</w:t>
      </w:r>
      <w:r>
        <w:rPr>
          <w:rFonts w:ascii="Times New Roman" w:cs="Times New Roman" w:eastAsia="Times New Roman" w:hAnsi="Times New Roman"/>
          <w:sz w:val="17"/>
          <w:szCs w:val="17"/>
          <w:b w:val="1"/>
          <w:bCs w:val="1"/>
          <w:color w:val="auto"/>
        </w:rPr>
        <w:t>ura</w:t>
      </w:r>
      <w:r>
        <w:rPr>
          <w:rFonts w:ascii="Times New Roman" w:cs="Times New Roman" w:eastAsia="Times New Roman" w:hAnsi="Times New Roman"/>
          <w:sz w:val="25"/>
          <w:szCs w:val="25"/>
          <w:b w:val="1"/>
          <w:bCs w:val="1"/>
          <w:color w:val="auto"/>
        </w:rPr>
        <w:t xml:space="preserve"> O</w:t>
      </w:r>
      <w:r>
        <w:rPr>
          <w:rFonts w:ascii="Times New Roman" w:cs="Times New Roman" w:eastAsia="Times New Roman" w:hAnsi="Times New Roman"/>
          <w:sz w:val="17"/>
          <w:szCs w:val="17"/>
          <w:b w:val="1"/>
          <w:bCs w:val="1"/>
          <w:color w:val="auto"/>
        </w:rPr>
        <w:t>ncology</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mended and</w:t>
      </w:r>
      <w:r>
        <w:rPr>
          <w:rFonts w:ascii="Times New Roman" w:cs="Times New Roman" w:eastAsia="Times New Roman" w:hAnsi="Times New Roman"/>
          <w:sz w:val="25"/>
          <w:szCs w:val="25"/>
          <w:b w:val="1"/>
          <w:bCs w:val="1"/>
          <w:color w:val="auto"/>
        </w:rPr>
        <w:t xml:space="preserve"> R</w:t>
      </w:r>
      <w:r>
        <w:rPr>
          <w:rFonts w:ascii="Times New Roman" w:cs="Times New Roman" w:eastAsia="Times New Roman" w:hAnsi="Times New Roman"/>
          <w:sz w:val="17"/>
          <w:szCs w:val="17"/>
          <w:b w:val="1"/>
          <w:bCs w:val="1"/>
          <w:color w:val="auto"/>
        </w:rPr>
        <w:t>estated</w:t>
      </w:r>
      <w:r>
        <w:rPr>
          <w:rFonts w:ascii="Times New Roman" w:cs="Times New Roman" w:eastAsia="Times New Roman" w:hAnsi="Times New Roman"/>
          <w:sz w:val="25"/>
          <w:szCs w:val="25"/>
          <w:b w:val="1"/>
          <w:bCs w:val="1"/>
          <w:color w:val="auto"/>
        </w:rPr>
        <w:t xml:space="preserve"> 2014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22"/>
          <w:szCs w:val="22"/>
          <w:b w:val="1"/>
          <w:bCs w:val="1"/>
          <w:color w:val="auto"/>
        </w:rPr>
        <w:t xml:space="preserve"> 6, 2015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22"/>
          <w:szCs w:val="22"/>
          <w:b w:val="1"/>
          <w:bCs w:val="1"/>
          <w:color w:val="auto"/>
        </w:rPr>
        <w:t xml:space="preserve"> 6, 2015</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eptember</w:t>
      </w:r>
      <w:r>
        <w:rPr>
          <w:rFonts w:ascii="Times New Roman" w:cs="Times New Roman" w:eastAsia="Times New Roman" w:hAnsi="Times New Roman"/>
          <w:sz w:val="22"/>
          <w:szCs w:val="22"/>
          <w:b w:val="1"/>
          <w:bCs w:val="1"/>
          <w:color w:val="auto"/>
        </w:rPr>
        <w:t xml:space="preserve"> 26, 2022 </w:t>
      </w:r>
      <w:r>
        <w:rPr>
          <w:rFonts w:ascii="Times New Roman" w:cs="Times New Roman" w:eastAsia="Times New Roman" w:hAnsi="Times New Roman"/>
          <w:sz w:val="14"/>
          <w:szCs w:val="14"/>
          <w:b w:val="1"/>
          <w:bCs w:val="1"/>
          <w:color w:val="auto"/>
        </w:rPr>
        <w:t>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4, 2023</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22"/>
          <w:szCs w:val="22"/>
          <w:b w:val="1"/>
          <w:bCs w:val="1"/>
          <w:color w:val="auto"/>
        </w:rPr>
        <w:t xml:space="preserve"> 31, 2023</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7, 2024</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22"/>
          <w:szCs w:val="22"/>
          <w:b w:val="1"/>
          <w:bCs w:val="1"/>
          <w:color w:val="auto"/>
        </w:rPr>
        <w:t xml:space="preserve"> 5, 2024</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8, 2025</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22"/>
          <w:szCs w:val="22"/>
          <w:b w:val="1"/>
          <w:bCs w:val="1"/>
          <w:color w:val="auto"/>
        </w:rPr>
        <w:t xml:space="preserve"> 5, 2025</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22"/>
          <w:szCs w:val="22"/>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9, 2026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22"/>
          <w:szCs w:val="22"/>
          <w:b w:val="1"/>
          <w:bCs w:val="1"/>
          <w:color w:val="auto"/>
        </w:rPr>
        <w:t xml:space="preserve"> 4, 2026</w:t>
      </w:r>
    </w:p>
    <w:p>
      <w:pPr>
        <w:spacing w:after="0" w:line="200" w:lineRule="exact"/>
        <w:rPr>
          <w:sz w:val="20"/>
          <w:szCs w:val="20"/>
          <w:color w:val="auto"/>
        </w:rPr>
      </w:pPr>
    </w:p>
    <w:p>
      <w:pPr>
        <w:spacing w:after="0" w:line="24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(a)Eligible Award Recipients. </w:t>
      </w:r>
      <w:r>
        <w:rPr>
          <w:rFonts w:ascii="Times New Roman" w:cs="Times New Roman" w:eastAsia="Times New Roman" w:hAnsi="Times New Roman"/>
          <w:sz w:val="22"/>
          <w:szCs w:val="22"/>
          <w:color w:val="auto"/>
        </w:rPr>
        <w:t>Employees, Directors and Consultants are eligible to receive Awards.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(b)Available Awards. </w:t>
      </w:r>
      <w:r>
        <w:rPr>
          <w:rFonts w:ascii="Times New Roman" w:cs="Times New Roman" w:eastAsia="Times New Roman" w:hAnsi="Times New Roman"/>
          <w:sz w:val="22"/>
          <w:szCs w:val="22"/>
          <w:color w:val="auto"/>
        </w:rPr>
        <w:t>The Plan provides for the grant of the following Awards: (i) Incentive Stock Options,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Nonstatutory Stock Options, (iii) Stock Appreciation Rights, (iv) Restricted Stock Awards, (v) Restricted Stock Unit Awards, (vi) Performance Stock Awards, (vii) Performance Cash Awards, and (viii) Other Stock Awards.</w:t>
      </w:r>
    </w:p>
    <w:p>
      <w:pPr>
        <w:spacing w:after="0" w:line="167" w:lineRule="exact"/>
        <w:rPr>
          <w:sz w:val="20"/>
          <w:szCs w:val="20"/>
          <w:color w:val="auto"/>
        </w:rPr>
      </w:pPr>
    </w:p>
    <w:p>
      <w:pPr>
        <w:jc w:val="both"/>
        <w:ind w:firstLine="757"/>
        <w:spacing w:after="0" w:line="246" w:lineRule="auto"/>
        <w:tabs>
          <w:tab w:leader="none" w:pos="1018"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Purpose. </w:t>
      </w:r>
      <w:r>
        <w:rPr>
          <w:rFonts w:ascii="Times New Roman" w:cs="Times New Roman" w:eastAsia="Times New Roman" w:hAnsi="Times New Roman"/>
          <w:sz w:val="22"/>
          <w:szCs w:val="22"/>
          <w:color w:val="auto"/>
        </w:rPr>
        <w:t>The Plan, through the grant of Awards, is intended to help the Company secure and retain the services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16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(d)History of the Plan. </w:t>
      </w:r>
      <w:r>
        <w:rPr>
          <w:rFonts w:ascii="Times New Roman" w:cs="Times New Roman" w:eastAsia="Times New Roman" w:hAnsi="Times New Roman"/>
          <w:sz w:val="21"/>
          <w:szCs w:val="21"/>
          <w:color w:val="auto"/>
        </w:rPr>
        <w:t>The plan was originally adopted by Kura Oncology, Inc., a Delaware corporation (“</w:t>
      </w:r>
      <w:r>
        <w:rPr>
          <w:rFonts w:ascii="Times New Roman" w:cs="Times New Roman" w:eastAsia="Times New Roman" w:hAnsi="Times New Roman"/>
          <w:sz w:val="21"/>
          <w:szCs w:val="21"/>
          <w:b w:val="1"/>
          <w:bCs w:val="1"/>
          <w:i w:val="1"/>
          <w:iCs w:val="1"/>
          <w:color w:val="auto"/>
        </w:rPr>
        <w:t>Kura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an Agreement and Plan of Merger dated March 6, 2015 (the “</w:t>
      </w:r>
      <w:r>
        <w:rPr>
          <w:rFonts w:ascii="Times New Roman" w:cs="Times New Roman" w:eastAsia="Times New Roman" w:hAnsi="Times New Roman"/>
          <w:sz w:val="21"/>
          <w:szCs w:val="21"/>
          <w:b w:val="1"/>
          <w:bCs w:val="1"/>
          <w:i w:val="1"/>
          <w:iCs w:val="1"/>
          <w:color w:val="auto"/>
        </w:rPr>
        <w:t>Merger Agreement</w:t>
      </w:r>
      <w:r>
        <w:rPr>
          <w:rFonts w:ascii="Times New Roman" w:cs="Times New Roman" w:eastAsia="Times New Roman" w:hAnsi="Times New Roman"/>
          <w:sz w:val="21"/>
          <w:szCs w:val="21"/>
          <w:color w:val="auto"/>
        </w:rPr>
        <w:t>”), by and among Zeta Acquisition Corp. III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Kura Operations, Inc., a Delaware corporation and wholly-owned subsidiary of the Company (“</w:t>
      </w:r>
      <w:r>
        <w:rPr>
          <w:rFonts w:ascii="Times New Roman" w:cs="Times New Roman" w:eastAsia="Times New Roman" w:hAnsi="Times New Roman"/>
          <w:sz w:val="21"/>
          <w:szCs w:val="21"/>
          <w:b w:val="1"/>
          <w:bCs w:val="1"/>
          <w:i w:val="1"/>
          <w:iCs w:val="1"/>
          <w:color w:val="auto"/>
        </w:rPr>
        <w:t>Merger Sub</w:t>
      </w:r>
      <w:r>
        <w:rPr>
          <w:rFonts w:ascii="Times New Roman" w:cs="Times New Roman" w:eastAsia="Times New Roman" w:hAnsi="Times New Roman"/>
          <w:sz w:val="21"/>
          <w:szCs w:val="21"/>
          <w:color w:val="auto"/>
        </w:rPr>
        <w:t>”) and Kura, Merger Sub merged with and into Kura, with Kura remaining as the surviving entity and a wholly-owned operating subsidiary of the Company (the “</w:t>
      </w:r>
      <w:r>
        <w:rPr>
          <w:rFonts w:ascii="Times New Roman" w:cs="Times New Roman" w:eastAsia="Times New Roman" w:hAnsi="Times New Roman"/>
          <w:sz w:val="21"/>
          <w:szCs w:val="21"/>
          <w:b w:val="1"/>
          <w:bCs w:val="1"/>
          <w:i w:val="1"/>
          <w:iCs w:val="1"/>
          <w:color w:val="auto"/>
        </w:rPr>
        <w:t>Merger</w:t>
      </w:r>
      <w:r>
        <w:rPr>
          <w:rFonts w:ascii="Times New Roman" w:cs="Times New Roman" w:eastAsia="Times New Roman" w:hAnsi="Times New Roman"/>
          <w:sz w:val="21"/>
          <w:szCs w:val="21"/>
          <w:color w:val="auto"/>
        </w:rPr>
        <w:t>”). Effective as of the Effective Time of the Merger (as defined in the Merger Agreement) (the “</w:t>
      </w:r>
      <w:r>
        <w:rPr>
          <w:rFonts w:ascii="Times New Roman" w:cs="Times New Roman" w:eastAsia="Times New Roman" w:hAnsi="Times New Roman"/>
          <w:sz w:val="21"/>
          <w:szCs w:val="21"/>
          <w:b w:val="1"/>
          <w:bCs w:val="1"/>
          <w:i w:val="1"/>
          <w:iCs w:val="1"/>
          <w:color w:val="auto"/>
        </w:rPr>
        <w:t>Amendment Date</w:t>
      </w:r>
      <w:r>
        <w:rPr>
          <w:rFonts w:ascii="Times New Roman" w:cs="Times New Roman" w:eastAsia="Times New Roman" w:hAnsi="Times New Roman"/>
          <w:sz w:val="21"/>
          <w:szCs w:val="21"/>
          <w:color w:val="auto"/>
        </w:rPr>
        <w:t>”), the Company assumed the Plan, and amended and restated the Plan. Immediately following the Merger, the Company changed its name from “Zeta Acquisition Corp. III” to “Kura Oncology,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1278255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520" w:hanging="512"/>
        <w:spacing w:after="0"/>
        <w:tabs>
          <w:tab w:leader="none" w:pos="52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(a)Administration by Board. </w:t>
      </w:r>
      <w:r>
        <w:rPr>
          <w:rFonts w:ascii="Times New Roman" w:cs="Times New Roman" w:eastAsia="Times New Roman" w:hAnsi="Times New Roman"/>
          <w:sz w:val="22"/>
          <w:szCs w:val="22"/>
          <w:color w:val="auto"/>
        </w:rPr>
        <w:t>The Board will administer the Plan. The Board may delegate administration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Committee or Committees, as provided in Section 2(c).</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(b)Powers of Board. </w:t>
      </w:r>
      <w:r>
        <w:rPr>
          <w:rFonts w:ascii="Times New Roman" w:cs="Times New Roman" w:eastAsia="Times New Roman" w:hAnsi="Times New Roman"/>
          <w:sz w:val="22"/>
          <w:szCs w:val="22"/>
          <w:color w:val="auto"/>
        </w:rPr>
        <w:t>The Board will have the power, subject to, and within the limitations of, the express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w:t>
      </w:r>
    </w:p>
    <w:p>
      <w:pPr>
        <w:spacing w:after="0" w:line="154" w:lineRule="exact"/>
        <w:rPr>
          <w:sz w:val="20"/>
          <w:szCs w:val="20"/>
          <w:color w:val="auto"/>
        </w:rPr>
      </w:pPr>
    </w:p>
    <w:p>
      <w:pPr>
        <w:jc w:val="both"/>
        <w:ind w:firstLine="1505"/>
        <w:spacing w:after="0" w:line="239" w:lineRule="auto"/>
        <w:tabs>
          <w:tab w:leader="none" w:pos="2036"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80"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settle all controversies regarding the Plan and Awards granted under it.</w:t>
      </w:r>
    </w:p>
    <w:p>
      <w:pPr>
        <w:spacing w:after="0" w:line="206"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accelerate, in whole or in part, the time at which an Award may be exercised or vest (or the time at which cash or shares of Common Stock may be issued in settlement thereof).</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5" w:lineRule="auto"/>
        <w:tabs>
          <w:tab w:leader="none" w:pos="2036" w:val="left"/>
        </w:tabs>
        <w:numPr>
          <w:ilvl w:val="0"/>
          <w:numId w:val="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 w:name="page7"/>
    <w:bookmarkEnd w:id="6"/>
    <w:p>
      <w:pPr>
        <w:jc w:val="both"/>
        <w:ind w:firstLine="1505"/>
        <w:spacing w:after="0" w:line="244" w:lineRule="auto"/>
        <w:tabs>
          <w:tab w:leader="none" w:pos="2036"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3" w:lineRule="auto"/>
        <w:tabs>
          <w:tab w:leader="none" w:pos="2036"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a Participant’s rights under any Award will not be impaired by any such amendment unless (A)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82"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36"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1"/>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7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Delegation to Committee.</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The Board may delegate some or all of the administration of the Plan to a Committee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78"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Rule 16b-3 Compliance. </w:t>
      </w:r>
      <w:r>
        <w:rPr>
          <w:rFonts w:ascii="Times New Roman" w:cs="Times New Roman" w:eastAsia="Times New Roman" w:hAnsi="Times New Roman"/>
          <w:sz w:val="22"/>
          <w:szCs w:val="22"/>
          <w:color w:val="auto"/>
        </w:rPr>
        <w:t>The Committee may consist solely of two or more Non-Employee Directors,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Rule 16b-3.</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(d)Delegation to Other Person or Body. </w:t>
      </w:r>
      <w:r>
        <w:rPr>
          <w:rFonts w:ascii="Times New Roman" w:cs="Times New Roman" w:eastAsia="Times New Roman" w:hAnsi="Times New Roman"/>
          <w:sz w:val="21"/>
          <w:szCs w:val="21"/>
          <w:color w:val="auto"/>
        </w:rPr>
        <w:t>The Board or any Committee may delegate to one or more persons or bodies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authority to do one or more of the following to the extent permitted by applicable law: (i) designate recipients, other than Officers, of Options and SARs (and, to the extent permitted by applicable law, other Awards), provided that no person or body may be delegated authority to grant an Award to themself; (ii) determine the number of shares subject to such Awards; and (iii) determine the terms of such Awards;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w:t>
      </w:r>
    </w:p>
    <w:p>
      <w:pPr>
        <w:spacing w:after="0" w:line="166" w:lineRule="exact"/>
        <w:rPr>
          <w:sz w:val="20"/>
          <w:szCs w:val="20"/>
          <w:color w:val="auto"/>
        </w:rPr>
      </w:pPr>
    </w:p>
    <w:p>
      <w:pPr>
        <w:ind w:right="20" w:firstLine="757"/>
        <w:spacing w:after="0" w:line="262" w:lineRule="auto"/>
        <w:tabs>
          <w:tab w:leader="none" w:pos="1018" w:val="left"/>
        </w:tabs>
        <w:numPr>
          <w:ilvl w:val="1"/>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of Board’s Decision. </w:t>
      </w:r>
      <w:r>
        <w:rPr>
          <w:rFonts w:ascii="Times New Roman" w:cs="Times New Roman" w:eastAsia="Times New Roman" w:hAnsi="Times New Roman"/>
          <w:sz w:val="22"/>
          <w:szCs w:val="22"/>
          <w:color w:val="auto"/>
        </w:rPr>
        <w:t>All determinations, interpretations and constructions made by the Board in good faith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 be subject to review by any person and will be final, binding and conclusive on all persons.</w:t>
      </w:r>
    </w:p>
    <w:p>
      <w:pPr>
        <w:spacing w:after="0" w:line="149"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(a)Share Reserve.</w:t>
      </w:r>
    </w:p>
    <w:p>
      <w:pPr>
        <w:spacing w:after="0" w:line="210" w:lineRule="exact"/>
        <w:rPr>
          <w:sz w:val="20"/>
          <w:szCs w:val="20"/>
          <w:color w:val="auto"/>
        </w:rPr>
      </w:pPr>
    </w:p>
    <w:p>
      <w:pPr>
        <w:jc w:val="both"/>
        <w:ind w:firstLine="1505"/>
        <w:spacing w:after="0" w:line="234" w:lineRule="auto"/>
        <w:tabs>
          <w:tab w:leader="none" w:pos="2036"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9(a) relating to Capitalization Adjustments, the maximum number of shares of Common Stock that may be issued pursuant to Stock Awards will not exceed 41,077,686 shares, which is the sum of: (i) 5,975,000 shares initially reserved under the Plan, (ii) 14,302,686 shares of Common Stock that were added pursuant to the annual automatic share increases from January 1, 2016 through January 1, 2023, (iii) an additional 4,050,000 shares of Common Stock that were approved by the Company’s stockholders at the 2023 Annual Meeting of Stockholders, (iv) an additional 5,500,000 shares of Common Stock that were approved by the Company’s stockholders at the 2024 Annual Meeting of Stockholders, (v) an additional 4,750,000 shares of Common Stock that were approved by the Company’s stockholders at the 2025 Annual Meeting of Stockholders, and (vi) an additional 6,500,000 shares of Common Stock that were approved by the Company’s stockholders at the 2026 Annual Meeting of Stockholders (the “</w:t>
      </w:r>
      <w:r>
        <w:rPr>
          <w:rFonts w:ascii="Times New Roman" w:cs="Times New Roman" w:eastAsia="Times New Roman" w:hAnsi="Times New Roman"/>
          <w:sz w:val="22"/>
          <w:szCs w:val="22"/>
          <w:b w:val="1"/>
          <w:bCs w:val="1"/>
          <w:i w:val="1"/>
          <w:iCs w:val="1"/>
          <w:color w:val="auto"/>
        </w:rPr>
        <w:t>Share Reserve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clarity, the Share Reserve in this Section 3(a) is a limitation on the number of shares of Common Stock that may be issued pursuant to the Plan. Accordingly, this Section 3(a) does not limit the granting of Stock Awards except as provided in Section 7(a).</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73"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Section 3(b), from and after May 31, 2023, the number of shares of Common Stock available for issuance under the Plan will be reduced by: (A) one share for each share of Common Stock issued pursuant to an Option or SAR with respect to which the exercise or strike price is at least 100% of the Fair Market Value of the Common Stock subject to the Option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22"/>
          <w:szCs w:val="22"/>
          <w:color w:val="auto"/>
        </w:rPr>
        <w:t>or SAR on the date of grant; and (B) one and forty-four one hundredths (1.44) shares for each share of Common Stock issued pursuant to a Full Value Award.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(b)Reversion of Shares to the Share Reserve.</w:t>
      </w:r>
    </w:p>
    <w:p>
      <w:pPr>
        <w:spacing w:after="0" w:line="210" w:lineRule="exact"/>
        <w:rPr>
          <w:sz w:val="20"/>
          <w:szCs w:val="20"/>
          <w:color w:val="auto"/>
        </w:rPr>
      </w:pPr>
    </w:p>
    <w:p>
      <w:pPr>
        <w:jc w:val="both"/>
        <w:ind w:firstLine="1505"/>
        <w:spacing w:after="0" w:line="255" w:lineRule="auto"/>
        <w:tabs>
          <w:tab w:leader="none" w:pos="2036"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following actions do not result in an issuance of shares under the Plan and accordingly do not reduce the number of shares subject to the Share Reserve and available for issuance under the Plan: (1) the expiration or termination of any portion of a Stock Award without the shares covered by such portion of the Stock Award having been issued; or (2) the settlement of any portion of a Stock Award in cash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Participant receives cash rather than Common Stock).</w:t>
      </w:r>
    </w:p>
    <w:p>
      <w:pPr>
        <w:spacing w:after="0" w:line="161" w:lineRule="exact"/>
        <w:rPr>
          <w:rFonts w:ascii="Times New Roman" w:cs="Times New Roman" w:eastAsia="Times New Roman" w:hAnsi="Times New Roman"/>
          <w:sz w:val="21"/>
          <w:szCs w:val="21"/>
          <w:b w:val="1"/>
          <w:bCs w:val="1"/>
          <w:color w:val="auto"/>
        </w:rPr>
      </w:pPr>
    </w:p>
    <w:p>
      <w:pPr>
        <w:jc w:val="both"/>
        <w:ind w:firstLine="1505"/>
        <w:spacing w:after="0" w:line="236" w:lineRule="auto"/>
        <w:tabs>
          <w:tab w:leader="none" w:pos="2036"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following actions result in an issuance of shares under the Plan and accordingly reduce the number of shares subject to the Share Reserve and available for issuance under the Plan: (1) the withholding of shares that would otherwise be issued by the Company to satisfy the exercise price of an Option or Stock Appreciation Right; and (2) the withholding of shares that would otherwise be issued by the Company to satisfy a tax withholding obligation in connection with any Stock Award, or any shares repurchased by the Company on the open market with the proceeds of the exercise or strike price of an Option or Stock Appreciation Right.</w:t>
      </w:r>
    </w:p>
    <w:p>
      <w:pPr>
        <w:spacing w:after="0" w:line="181"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shares of Common Stock issued pursuant to a Stock Award are forfeited back to or repurchased by the Company because of the failure to meet a contingency or condition required to vest such shares in the Participant, then the shares that are forfeited or repurchased (collectively, the “Amended 2014 Plan Returning Shares”) will revert to and again become available for issuance under the Plan. For each Amended 2014 Plan Returning Share subject to a Full Value Award, from and after May 31, 2023, the number of shares of Common Stock available for issuance under the Plan will increase by one and forty-four one hundredths (1.44) shares.</w:t>
      </w:r>
    </w:p>
    <w:p>
      <w:pPr>
        <w:spacing w:after="0" w:line="177" w:lineRule="exact"/>
        <w:rPr>
          <w:sz w:val="20"/>
          <w:szCs w:val="20"/>
          <w:color w:val="auto"/>
        </w:rPr>
      </w:pPr>
    </w:p>
    <w:p>
      <w:pPr>
        <w:jc w:val="both"/>
        <w:ind w:firstLine="757"/>
        <w:spacing w:after="0" w:line="246" w:lineRule="auto"/>
        <w:tabs>
          <w:tab w:leader="none" w:pos="1018"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Incentive Stock Option Limit. </w:t>
      </w:r>
      <w:r>
        <w:rPr>
          <w:rFonts w:ascii="Times New Roman" w:cs="Times New Roman" w:eastAsia="Times New Roman" w:hAnsi="Times New Roman"/>
          <w:sz w:val="22"/>
          <w:szCs w:val="22"/>
          <w:color w:val="auto"/>
        </w:rPr>
        <w:t>Subject to the provisions of Section 9(a) relating to Capitalization Adjustments,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maximum number of shares of Common Stock that may be issued pursuant to the exercise of Incentive Stock Options will be 123,233,058 shares of Common Stock.</w:t>
      </w:r>
    </w:p>
    <w:p>
      <w:pPr>
        <w:spacing w:after="0" w:line="16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(d)Source of Shares. </w:t>
      </w:r>
      <w:r>
        <w:rPr>
          <w:rFonts w:ascii="Times New Roman" w:cs="Times New Roman" w:eastAsia="Times New Roman" w:hAnsi="Times New Roman"/>
          <w:sz w:val="22"/>
          <w:szCs w:val="22"/>
          <w:color w:val="auto"/>
        </w:rPr>
        <w:t>The stock issuable under the Plan will be shares of authorized but unissued or reacquired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including shares repurchased by the Company on the open market or otherwise.</w:t>
      </w:r>
    </w:p>
    <w:p>
      <w:pPr>
        <w:spacing w:after="0" w:line="150"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(a)Eligibility for Specific Stock Awards</w:t>
      </w:r>
      <w:r>
        <w:rPr>
          <w:rFonts w:ascii="Times New Roman" w:cs="Times New Roman" w:eastAsia="Times New Roman" w:hAnsi="Times New Roman"/>
          <w:sz w:val="22"/>
          <w:szCs w:val="22"/>
          <w:color w:val="auto"/>
        </w:rPr>
        <w:t>. Incentive Stock Options may be granted only to employees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a “parent corporation” or “subsidiary corporation” thereof (as such terms are defined in Sections 424(e) and 424(f) of the Code). Stock Awards other than Incentive Stock Options may be granted to Employees, Directors and Consultants;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Stock Awards may not be granted to Employees, Directors and Consultants who are providing Continuous Service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only to any “parent” of the Company, as such term is defined in Rule 405 of the Securities Act, unless (i) the stock underlying such Stock Awards is treated as “service recipient stock” under Section 409A of the Code (for example, because the Stock Awards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jc w:val="both"/>
        <w:spacing w:after="0" w:line="239" w:lineRule="auto"/>
        <w:rPr>
          <w:sz w:val="20"/>
          <w:szCs w:val="20"/>
          <w:color w:val="auto"/>
        </w:rPr>
      </w:pPr>
      <w:r>
        <w:rPr>
          <w:rFonts w:ascii="Times New Roman" w:cs="Times New Roman" w:eastAsia="Times New Roman" w:hAnsi="Times New Roman"/>
          <w:sz w:val="22"/>
          <w:szCs w:val="22"/>
          <w:color w:val="auto"/>
        </w:rPr>
        <w:t>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(b)Non-Employee Director Compensation Limit</w:t>
      </w:r>
      <w:r>
        <w:rPr>
          <w:rFonts w:ascii="Times New Roman" w:cs="Times New Roman" w:eastAsia="Times New Roman" w:hAnsi="Times New Roman"/>
          <w:sz w:val="22"/>
          <w:szCs w:val="22"/>
          <w:color w:val="auto"/>
        </w:rPr>
        <w:t>. The aggregate value of all compensation granted or paid,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to any individual for service as a Non-Employee Director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 w:cs="Times New Roman" w:eastAsia="Times New Roman" w:hAnsi="Times New Roman"/>
          <w:sz w:val="22"/>
          <w:szCs w:val="22"/>
          <w:b w:val="1"/>
          <w:bCs w:val="1"/>
          <w:i w:val="1"/>
          <w:iCs w:val="1"/>
          <w:color w:val="auto"/>
        </w:rPr>
        <w:t>Annual Period</w:t>
      </w:r>
      <w:r>
        <w:rPr>
          <w:rFonts w:ascii="Times New Roman" w:cs="Times New Roman" w:eastAsia="Times New Roman" w:hAnsi="Times New Roman"/>
          <w:sz w:val="22"/>
          <w:szCs w:val="22"/>
          <w:color w:val="auto"/>
        </w:rPr>
        <w:t>”), including Awards granted and cash fees paid by the Company to such Non-Employee Director, will not exceed (i) $750,000 in total value or (ii) $1,000,000 in total value in the event such Non-Employee Director is first appointed or elected to the Board during such Annual Period, in each case calculating the value of any equity awards based on the grant date fair value of such equity awards for financial reporting purposes. The limitations in this Section 4(b) shall apply commencing with the Annual Period that begins on the Company’s 2023 Annual Meeting of Stockholders.</w:t>
      </w:r>
    </w:p>
    <w:p>
      <w:pPr>
        <w:spacing w:after="0" w:line="174" w:lineRule="exact"/>
        <w:rPr>
          <w:sz w:val="20"/>
          <w:szCs w:val="20"/>
          <w:color w:val="auto"/>
        </w:rPr>
      </w:pPr>
    </w:p>
    <w:p>
      <w:pPr>
        <w:jc w:val="both"/>
        <w:ind w:firstLine="757"/>
        <w:spacing w:after="0" w:line="246" w:lineRule="auto"/>
        <w:tabs>
          <w:tab w:leader="none" w:pos="1018"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Ten Percent Stockholders. </w:t>
      </w:r>
      <w:r>
        <w:rPr>
          <w:rFonts w:ascii="Times New Roman" w:cs="Times New Roman" w:eastAsia="Times New Roman" w:hAnsi="Times New Roman"/>
          <w:sz w:val="22"/>
          <w:szCs w:val="22"/>
          <w:color w:val="auto"/>
        </w:rPr>
        <w:t>A Ten Percent Stockholder will not be granted an Incentive Stock Option unless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price of such Option is at least 110% of the Fair Market Value on the date of grant and the Option is not exercisable after the expiration of five years from the date of grant.</w:t>
      </w:r>
    </w:p>
    <w:p>
      <w:pPr>
        <w:spacing w:after="0" w:line="167"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elating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181"/>
        <w:spacing w:after="0" w:line="234" w:lineRule="auto"/>
        <w:rPr>
          <w:sz w:val="20"/>
          <w:szCs w:val="20"/>
          <w:color w:val="auto"/>
        </w:rPr>
      </w:pPr>
      <w:r>
        <w:rPr>
          <w:rFonts w:ascii="Times New Roman" w:cs="Times New Roman" w:eastAsia="Times New Roman" w:hAnsi="Times New Roman"/>
          <w:sz w:val="22"/>
          <w:szCs w:val="22"/>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each Award Agreement will conform to (through incorporation of provisions hereof by reference in the applicable Award Agreement or otherwise) the substance of each of the following provisions:</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(a)Term. </w:t>
      </w:r>
      <w:r>
        <w:rPr>
          <w:rFonts w:ascii="Times New Roman" w:cs="Times New Roman" w:eastAsia="Times New Roman" w:hAnsi="Times New Roman"/>
          <w:sz w:val="22"/>
          <w:szCs w:val="22"/>
          <w:color w:val="auto"/>
        </w:rPr>
        <w:t>Subject to the provisions of Section 4(b) regarding Ten Percent Stockholders, no Option or SAR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exercisable after the expiration of ten years from the date of its grant or such shorter period specified in the Award Agreement.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(b)Exercise Price. </w:t>
      </w:r>
      <w:r>
        <w:rPr>
          <w:rFonts w:ascii="Times New Roman" w:cs="Times New Roman" w:eastAsia="Times New Roman" w:hAnsi="Times New Roman"/>
          <w:sz w:val="22"/>
          <w:szCs w:val="22"/>
          <w:color w:val="auto"/>
        </w:rPr>
        <w:t>Subject to the provisions of Section 4(b) regarding Ten Percent Stockholders, the exercise or strike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jc w:val="both"/>
        <w:spacing w:after="0" w:line="244" w:lineRule="auto"/>
        <w:rPr>
          <w:sz w:val="20"/>
          <w:szCs w:val="20"/>
          <w:color w:val="auto"/>
        </w:rPr>
      </w:pPr>
      <w:r>
        <w:rPr>
          <w:rFonts w:ascii="Times New Roman" w:cs="Times New Roman" w:eastAsia="Times New Roman" w:hAnsi="Times New Roman"/>
          <w:sz w:val="22"/>
          <w:szCs w:val="22"/>
          <w:color w:val="auto"/>
        </w:rPr>
        <w:t>if such Award is granted pursuant to an assumption of or substitution for another option or stock appreciation right pursuant to a Corporate Transaction and in a manner consistent with the provisions of Section 409A and, if applicable, Section 424(a) of the Code. Each SAR will be denominated in shares of Common Stock equivalents.</w:t>
      </w:r>
    </w:p>
    <w:p>
      <w:pPr>
        <w:spacing w:after="0" w:line="169" w:lineRule="exact"/>
        <w:rPr>
          <w:sz w:val="20"/>
          <w:szCs w:val="20"/>
          <w:color w:val="auto"/>
        </w:rPr>
      </w:pPr>
    </w:p>
    <w:p>
      <w:pPr>
        <w:jc w:val="both"/>
        <w:ind w:firstLine="757"/>
        <w:spacing w:after="0" w:line="238" w:lineRule="auto"/>
        <w:tabs>
          <w:tab w:leader="none" w:pos="1018"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Purchase Price for Options. </w:t>
      </w:r>
      <w:r>
        <w:rPr>
          <w:rFonts w:ascii="Times New Roman" w:cs="Times New Roman" w:eastAsia="Times New Roman" w:hAnsi="Times New Roman"/>
          <w:sz w:val="22"/>
          <w:szCs w:val="22"/>
          <w:color w:val="auto"/>
        </w:rPr>
        <w:t>The purchase price of Common Stock acquired pursuant to the exercise of an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0"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cash, check, bank draft or money order payable to the Company;</w:t>
      </w:r>
    </w:p>
    <w:p>
      <w:pPr>
        <w:spacing w:after="0" w:line="206" w:lineRule="exact"/>
        <w:rPr>
          <w:rFonts w:ascii="Times New Roman" w:cs="Times New Roman" w:eastAsia="Times New Roman" w:hAnsi="Times New Roman"/>
          <w:sz w:val="22"/>
          <w:szCs w:val="22"/>
          <w:b w:val="1"/>
          <w:bCs w:val="1"/>
          <w:color w:val="auto"/>
        </w:rPr>
      </w:pPr>
    </w:p>
    <w:p>
      <w:pPr>
        <w:jc w:val="both"/>
        <w:ind w:right="20" w:firstLine="1505"/>
        <w:spacing w:after="0" w:line="244" w:lineRule="auto"/>
        <w:tabs>
          <w:tab w:leader="none" w:pos="2036"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73"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delivery to the Company (either by actual delivery or attestation) of shares of Common Stock;</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78"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any other form of legal consideration that may be acceptable to the Board and specified in the applicable Award Agreement.</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(d)Exercise and Payment of a SAR. </w:t>
      </w:r>
      <w:r>
        <w:rPr>
          <w:rFonts w:ascii="Times New Roman" w:cs="Times New Roman" w:eastAsia="Times New Roman" w:hAnsi="Times New Roman"/>
          <w:sz w:val="22"/>
          <w:szCs w:val="22"/>
          <w:color w:val="auto"/>
        </w:rPr>
        <w:t>To exercise any outstanding SAR, the Participant must provide written notice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form of consideration, as determined by the Board and contained in the Award Agreement evidencing such SAR.</w:t>
      </w:r>
    </w:p>
    <w:p>
      <w:pPr>
        <w:spacing w:after="0" w:line="202" w:lineRule="exact"/>
        <w:rPr>
          <w:sz w:val="20"/>
          <w:szCs w:val="20"/>
          <w:color w:val="auto"/>
        </w:rPr>
      </w:pPr>
    </w:p>
    <w:p>
      <w:pPr>
        <w:jc w:val="both"/>
        <w:ind w:firstLine="757"/>
        <w:spacing w:after="0" w:line="246" w:lineRule="auto"/>
        <w:tabs>
          <w:tab w:leader="none" w:pos="101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of Options and SARs. </w:t>
      </w:r>
      <w:r>
        <w:rPr>
          <w:rFonts w:ascii="Times New Roman" w:cs="Times New Roman" w:eastAsia="Times New Roman" w:hAnsi="Times New Roman"/>
          <w:sz w:val="22"/>
          <w:szCs w:val="22"/>
          <w:color w:val="auto"/>
        </w:rPr>
        <w:t>The Board may, in its sole discretion, impose such limitations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transferability of Options and SARs as the Board will determine. In the absence of such a determination by the Board to the contrary, the following restrictions on the transferability of Options and SARs will apply:</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8" w:lineRule="auto"/>
        <w:tabs>
          <w:tab w:leader="none" w:pos="2036"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on Transfer. </w:t>
      </w:r>
      <w:r>
        <w:rPr>
          <w:rFonts w:ascii="Times New Roman" w:cs="Times New Roman" w:eastAsia="Times New Roman" w:hAnsi="Times New Roman"/>
          <w:sz w:val="22"/>
          <w:szCs w:val="22"/>
          <w:color w:val="auto"/>
        </w:rPr>
        <w:t>An Option or SAR will not be transferable except by will or by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Domestic Relations Orders. Subject to the approval of the Board or a duly authorized Officer, an 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76"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Subject to the approval of the Board or a duly authorized Officer, a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37" w:lineRule="auto"/>
        <w:tabs>
          <w:tab w:leader="none" w:pos="101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Generally. </w:t>
      </w:r>
      <w:r>
        <w:rPr>
          <w:rFonts w:ascii="Times New Roman" w:cs="Times New Roman" w:eastAsia="Times New Roman" w:hAnsi="Times New Roman"/>
          <w:sz w:val="22"/>
          <w:szCs w:val="22"/>
          <w:color w:val="auto"/>
        </w:rPr>
        <w:t>The total number of shares of Common Stock subject to an Option or SAR may vest and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(g)Termination of Continuous Service. </w:t>
      </w:r>
      <w:r>
        <w:rPr>
          <w:rFonts w:ascii="Times New Roman" w:cs="Times New Roman" w:eastAsia="Times New Roman" w:hAnsi="Times New Roman"/>
          <w:sz w:val="22"/>
          <w:szCs w:val="22"/>
          <w:color w:val="auto"/>
        </w:rPr>
        <w:t>Except as otherwise provided in the applicable Award Agreement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spacing w:after="0" w:line="239" w:lineRule="auto"/>
        <w:rPr>
          <w:sz w:val="20"/>
          <w:szCs w:val="20"/>
          <w:color w:val="auto"/>
        </w:rPr>
      </w:pPr>
      <w:r>
        <w:rPr>
          <w:rFonts w:ascii="Times New Roman" w:cs="Times New Roman" w:eastAsia="Times New Roman" w:hAnsi="Times New Roman"/>
          <w:sz w:val="22"/>
          <w:szCs w:val="22"/>
          <w:color w:val="auto"/>
        </w:rPr>
        <w:t>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(h)Extension of Termination Date. </w:t>
      </w:r>
      <w:r>
        <w:rPr>
          <w:rFonts w:ascii="Times New Roman" w:cs="Times New Roman" w:eastAsia="Times New Roman" w:hAnsi="Times New Roman"/>
          <w:sz w:val="21"/>
          <w:szCs w:val="21"/>
          <w:color w:val="auto"/>
        </w:rPr>
        <w:t>If the exercise of an Option or SAR following the termination of the Participant’s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70" w:lineRule="exact"/>
        <w:rPr>
          <w:sz w:val="20"/>
          <w:szCs w:val="20"/>
          <w:color w:val="auto"/>
        </w:rPr>
      </w:pPr>
    </w:p>
    <w:p>
      <w:pPr>
        <w:jc w:val="both"/>
        <w:ind w:firstLine="757"/>
        <w:spacing w:after="0" w:line="248" w:lineRule="auto"/>
        <w:tabs>
          <w:tab w:leader="none" w:pos="1018" w:val="left"/>
        </w:tabs>
        <w:numPr>
          <w:ilvl w:val="1"/>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Disability of Participant. </w:t>
      </w:r>
      <w:r>
        <w:rPr>
          <w:rFonts w:ascii="Times New Roman" w:cs="Times New Roman" w:eastAsia="Times New Roman" w:hAnsi="Times New Roman"/>
          <w:sz w:val="21"/>
          <w:szCs w:val="21"/>
          <w:color w:val="auto"/>
        </w:rPr>
        <w:t>Except as otherwise provided in the applicable Award Agreement or other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34" w:lineRule="auto"/>
        <w:tabs>
          <w:tab w:leader="none" w:pos="26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Death of Participant. </w:t>
      </w:r>
      <w:r>
        <w:rPr>
          <w:rFonts w:ascii="Times New Roman" w:cs="Times New Roman" w:eastAsia="Times New Roman" w:hAnsi="Times New Roman"/>
          <w:sz w:val="22"/>
          <w:szCs w:val="22"/>
          <w:color w:val="auto"/>
        </w:rPr>
        <w:t>Except as otherwise provided in the applicable Award Agreement or other agreement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22"/>
          <w:szCs w:val="22"/>
          <w:color w:val="auto"/>
        </w:rPr>
        <w:t>after the Participant’s death, the Option or SAR is not exercised within the applicable time frame, the Option or SAR (as applicable) will terminate.</w:t>
      </w:r>
    </w:p>
    <w:p>
      <w:pPr>
        <w:spacing w:after="0" w:line="15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(k)Termination for Cause. </w:t>
      </w:r>
      <w:r>
        <w:rPr>
          <w:rFonts w:ascii="Times New Roman" w:cs="Times New Roman" w:eastAsia="Times New Roman" w:hAnsi="Times New Roman"/>
          <w:sz w:val="22"/>
          <w:szCs w:val="22"/>
          <w:color w:val="auto"/>
        </w:rPr>
        <w:t>Except as explicitly provided otherwise in a Participant’s Award Agreement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7" w:lineRule="exact"/>
        <w:rPr>
          <w:sz w:val="20"/>
          <w:szCs w:val="20"/>
          <w:color w:val="auto"/>
        </w:rPr>
      </w:pPr>
    </w:p>
    <w:p>
      <w:pPr>
        <w:jc w:val="both"/>
        <w:ind w:firstLine="757"/>
        <w:spacing w:after="0" w:line="247" w:lineRule="auto"/>
        <w:tabs>
          <w:tab w:leader="none" w:pos="1018" w:val="left"/>
        </w:tabs>
        <w:numPr>
          <w:ilvl w:val="1"/>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Non-Exempt Employees</w:t>
      </w:r>
      <w:r>
        <w:rPr>
          <w:rFonts w:ascii="Times New Roman" w:cs="Times New Roman" w:eastAsia="Times New Roman" w:hAnsi="Times New Roman"/>
          <w:sz w:val="21"/>
          <w:szCs w:val="21"/>
          <w:color w:val="auto"/>
        </w:rPr>
        <w:t>. If an Option or SAR is granted to an Employee who is a non-exempt employee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of the 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w:t>
      </w:r>
    </w:p>
    <w:p>
      <w:pPr>
        <w:jc w:val="both"/>
        <w:ind w:firstLine="8"/>
        <w:spacing w:after="0" w:line="232" w:lineRule="auto"/>
        <w:tabs>
          <w:tab w:leader="none" w:pos="38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4"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rovisions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 than</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22"/>
          <w:szCs w:val="22"/>
          <w:b w:val="1"/>
          <w:bCs w:val="1"/>
          <w:color w:val="auto"/>
        </w:rPr>
        <w:t xml:space="preserve"> SAR</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(a)Restricted Stock Awards. </w:t>
      </w:r>
      <w:r>
        <w:rPr>
          <w:rFonts w:ascii="Times New Roman" w:cs="Times New Roman" w:eastAsia="Times New Roman" w:hAnsi="Times New Roman"/>
          <w:sz w:val="22"/>
          <w:szCs w:val="22"/>
          <w:color w:val="auto"/>
        </w:rPr>
        <w:t>Each Restricted Stock Award Agreement will be in such form and will contain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-852170</wp:posOffset>
            </wp:positionV>
            <wp:extent cx="34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8" w:lineRule="exact"/>
        <w:rPr>
          <w:sz w:val="20"/>
          <w:szCs w:val="20"/>
          <w:color w:val="auto"/>
        </w:rPr>
      </w:pPr>
    </w:p>
    <w:p>
      <w:pPr>
        <w:jc w:val="both"/>
        <w:ind w:firstLine="1505"/>
        <w:spacing w:after="0" w:line="246" w:lineRule="auto"/>
        <w:tabs>
          <w:tab w:leader="none" w:pos="2036"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A Restricted Stock Award may be awarded in consideration for (A) cash, check,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draft or money order payable to the Company, (B) past services to the Company or an Affiliate, or (C) any other form of legal consideration that may be acceptable to the Board, in its sole discretion, and permissible under applicable law.</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ind w:right="20" w:firstLine="1505"/>
        <w:spacing w:after="0" w:line="262" w:lineRule="auto"/>
        <w:tabs>
          <w:tab w:leader="none" w:pos="203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Shares of Common Stock awarded under the Restricted Stock Award Agreement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forfeiture to the Company in accordance with a vesting schedule to be determined by the Board.</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Participant’s Continuous Service. </w:t>
      </w:r>
      <w:r>
        <w:rPr>
          <w:rFonts w:ascii="Times New Roman" w:cs="Times New Roman" w:eastAsia="Times New Roman" w:hAnsi="Times New Roman"/>
          <w:sz w:val="22"/>
          <w:szCs w:val="22"/>
          <w:color w:val="auto"/>
        </w:rPr>
        <w:t>If a Participant’s Continuous Service terminates,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41" w:lineRule="auto"/>
        <w:tabs>
          <w:tab w:leader="none" w:pos="203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Rights to acquire shares of Common Stock under the Restricted Stock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1"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A Restricted Stock Award Agreement may provide that any dividends paid on the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Restricted Stock Award will be subject to the same vesting and forfeiture restrictions as apply to the shares subject to the Restricted Stock Award to which they relate.</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(b)Restricted Stock Unit Awards. </w:t>
      </w:r>
      <w:r>
        <w:rPr>
          <w:rFonts w:ascii="Times New Roman" w:cs="Times New Roman" w:eastAsia="Times New Roman" w:hAnsi="Times New Roman"/>
          <w:sz w:val="22"/>
          <w:szCs w:val="22"/>
          <w:color w:val="auto"/>
        </w:rPr>
        <w:t>Each Restricted Stock Unit Award Agreement will be in such form and will contain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7" w:lineRule="exact"/>
        <w:rPr>
          <w:sz w:val="20"/>
          <w:szCs w:val="20"/>
          <w:color w:val="auto"/>
        </w:rPr>
      </w:pPr>
    </w:p>
    <w:p>
      <w:pPr>
        <w:jc w:val="both"/>
        <w:ind w:firstLine="1505"/>
        <w:spacing w:after="0" w:line="238" w:lineRule="auto"/>
        <w:tabs>
          <w:tab w:leader="none" w:pos="203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At the time of grant of a Restricted Stock Unit Award, the Board will determine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At the time of the grant of a Restricted Stock Unit Award, the Board may impose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on or conditions to the vesting of the Restricted Stock Unit Award as it, in its sole discretion, deems appropriate.</w:t>
      </w:r>
    </w:p>
    <w:p>
      <w:pPr>
        <w:spacing w:after="0" w:line="149"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 Restricted Stock Unit Award may be settled by the delivery of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cash equivalent, any combination thereof or in any other form of consideration, as determined by the Board and contained in the Restricted Stock Unit Award Agreement.</w:t>
      </w:r>
    </w:p>
    <w:p>
      <w:pPr>
        <w:spacing w:after="0" w:line="167"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Additional Restrictions. </w:t>
      </w:r>
      <w:r>
        <w:rPr>
          <w:rFonts w:ascii="Times New Roman" w:cs="Times New Roman" w:eastAsia="Times New Roman" w:hAnsi="Times New Roman"/>
          <w:sz w:val="22"/>
          <w:szCs w:val="22"/>
          <w:color w:val="auto"/>
        </w:rPr>
        <w:t>At the time of the grant of a Restricted Stock Unit Award, the Board, as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deems appropriate, may impose such restrictions or conditions that delay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22"/>
          <w:szCs w:val="22"/>
          <w:color w:val="auto"/>
        </w:rPr>
        <w:t>the delivery of the shares of Common Stock (or their cash equivalent) subject to a Restricted Stock Unit Award to a time after the vesting of such Restricted Stock Unit Award.</w:t>
      </w:r>
    </w:p>
    <w:p>
      <w:pPr>
        <w:spacing w:after="0" w:line="154" w:lineRule="exact"/>
        <w:rPr>
          <w:sz w:val="20"/>
          <w:szCs w:val="20"/>
          <w:color w:val="auto"/>
        </w:rPr>
      </w:pPr>
    </w:p>
    <w:p>
      <w:pPr>
        <w:jc w:val="both"/>
        <w:ind w:firstLine="1505"/>
        <w:spacing w:after="0" w:line="237" w:lineRule="auto"/>
        <w:tabs>
          <w:tab w:leader="none" w:pos="2036"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 Equivalents. </w:t>
      </w:r>
      <w:r>
        <w:rPr>
          <w:rFonts w:ascii="Times New Roman" w:cs="Times New Roman" w:eastAsia="Times New Roman" w:hAnsi="Times New Roman"/>
          <w:sz w:val="22"/>
          <w:szCs w:val="22"/>
          <w:color w:val="auto"/>
        </w:rPr>
        <w:t>Dividend equivalents may be credited in respect of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Participant’s Continuous Service. </w:t>
      </w:r>
      <w:r>
        <w:rPr>
          <w:rFonts w:ascii="Times New Roman" w:cs="Times New Roman" w:eastAsia="Times New Roman" w:hAnsi="Times New Roman"/>
          <w:sz w:val="22"/>
          <w:szCs w:val="22"/>
          <w:color w:val="auto"/>
        </w:rPr>
        <w:t>Except as otherwise provided in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 Award Agreement, such portion of the Restricted Stock Unit Award that has not vested will be forfeited upon the Participant’s termination of Continuous Service.</w:t>
      </w:r>
    </w:p>
    <w:p>
      <w:pPr>
        <w:spacing w:after="0" w:line="167"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Awards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6" w:lineRule="auto"/>
        <w:tabs>
          <w:tab w:leader="none" w:pos="2036"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Stock Awards</w:t>
      </w:r>
      <w:r>
        <w:rPr>
          <w:rFonts w:ascii="Times New Roman" w:cs="Times New Roman" w:eastAsia="Times New Roman" w:hAnsi="Times New Roman"/>
          <w:sz w:val="22"/>
          <w:szCs w:val="22"/>
          <w:color w:val="auto"/>
        </w:rPr>
        <w:t>. A Performance Stock Award is a Stock Award that is payable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the Board, in its sole discretion. In addition, to the extent permitted by applicable law and the applicable Award Agreement, the Board may determine that cash may be used in payment of Performance Stock Awards.</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Cash Awards</w:t>
      </w:r>
      <w:r>
        <w:rPr>
          <w:rFonts w:ascii="Times New Roman" w:cs="Times New Roman" w:eastAsia="Times New Roman" w:hAnsi="Times New Roman"/>
          <w:sz w:val="22"/>
          <w:szCs w:val="22"/>
          <w:color w:val="auto"/>
        </w:rPr>
        <w:t>. A Performance Cash Award is a cash award that is payable contingent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78" w:lineRule="exact"/>
        <w:rPr>
          <w:rFonts w:ascii="Times New Roman" w:cs="Times New Roman" w:eastAsia="Times New Roman" w:hAnsi="Times New Roman"/>
          <w:sz w:val="22"/>
          <w:szCs w:val="22"/>
          <w:b w:val="1"/>
          <w:bCs w:val="1"/>
          <w:color w:val="auto"/>
        </w:rPr>
      </w:pPr>
    </w:p>
    <w:p>
      <w:pPr>
        <w:jc w:val="both"/>
        <w:ind w:firstLine="1505"/>
        <w:spacing w:after="0" w:line="256" w:lineRule="auto"/>
        <w:tabs>
          <w:tab w:leader="none" w:pos="2036" w:val="left"/>
        </w:tabs>
        <w:numPr>
          <w:ilvl w:val="1"/>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Board Discretion</w:t>
      </w:r>
      <w:r>
        <w:rPr>
          <w:rFonts w:ascii="Times New Roman" w:cs="Times New Roman" w:eastAsia="Times New Roman" w:hAnsi="Times New Roman"/>
          <w:sz w:val="21"/>
          <w:szCs w:val="21"/>
          <w:color w:val="auto"/>
        </w:rPr>
        <w:t>. The Board retains the discretion to reduce or eliminate the compensation or economic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(d)Other Stock Awards</w:t>
      </w:r>
      <w:r>
        <w:rPr>
          <w:rFonts w:ascii="Times New Roman" w:cs="Times New Roman" w:eastAsia="Times New Roman" w:hAnsi="Times New Roman"/>
          <w:sz w:val="22"/>
          <w:szCs w:val="22"/>
          <w:color w:val="auto"/>
        </w:rPr>
        <w:t>. Other forms of Stock Awards valued in whole or in part by reference to, or otherwise based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76"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(a)Availability of Shares. </w:t>
      </w:r>
      <w:r>
        <w:rPr>
          <w:rFonts w:ascii="Times New Roman" w:cs="Times New Roman" w:eastAsia="Times New Roman" w:hAnsi="Times New Roman"/>
          <w:sz w:val="22"/>
          <w:szCs w:val="22"/>
          <w:color w:val="auto"/>
        </w:rPr>
        <w:t>The Company will keep available at all times the number of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required to satisfy then-outstanding Awards.</w:t>
      </w:r>
    </w:p>
    <w:p>
      <w:pPr>
        <w:spacing w:after="0" w:line="15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(b)Securities Law Compliance. </w:t>
      </w:r>
      <w:r>
        <w:rPr>
          <w:rFonts w:ascii="Times New Roman" w:cs="Times New Roman" w:eastAsia="Times New Roman" w:hAnsi="Times New Roman"/>
          <w:sz w:val="21"/>
          <w:szCs w:val="21"/>
          <w:color w:val="auto"/>
        </w:rPr>
        <w:t>The Company will seek to obtain from each regulatory commission or agency having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jurisdiction over the Plan such authority as may be required to grant Stock Awards and to issue and sell shares of Common Stock upon exercise of the Stock Awards;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66" w:lineRule="exact"/>
        <w:rPr>
          <w:sz w:val="20"/>
          <w:szCs w:val="20"/>
          <w:color w:val="auto"/>
        </w:rPr>
      </w:pPr>
    </w:p>
    <w:p>
      <w:pPr>
        <w:jc w:val="both"/>
        <w:ind w:firstLine="757"/>
        <w:spacing w:after="0" w:line="238" w:lineRule="auto"/>
        <w:tabs>
          <w:tab w:leader="none" w:pos="1018"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Obligation to Notify or Minimize Taxes. </w:t>
      </w:r>
      <w:r>
        <w:rPr>
          <w:rFonts w:ascii="Times New Roman" w:cs="Times New Roman" w:eastAsia="Times New Roman" w:hAnsi="Times New Roman"/>
          <w:sz w:val="22"/>
          <w:szCs w:val="22"/>
          <w:color w:val="auto"/>
        </w:rPr>
        <w:t>The Company will have no duty or obligation to any Participant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6"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(a)Use of Proceeds from Sales of Common Stock. </w:t>
      </w:r>
      <w:r>
        <w:rPr>
          <w:rFonts w:ascii="Times New Roman" w:cs="Times New Roman" w:eastAsia="Times New Roman" w:hAnsi="Times New Roman"/>
          <w:sz w:val="22"/>
          <w:szCs w:val="22"/>
          <w:color w:val="auto"/>
        </w:rPr>
        <w:t>Proceeds from the sale of shares of Common Stock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will constitute general funds of the Company.</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(b)Corporate Action Constituting Grant of Awards. </w:t>
      </w:r>
      <w:r>
        <w:rPr>
          <w:rFonts w:ascii="Times New Roman" w:cs="Times New Roman" w:eastAsia="Times New Roman" w:hAnsi="Times New Roman"/>
          <w:sz w:val="22"/>
          <w:szCs w:val="22"/>
          <w:color w:val="auto"/>
        </w:rPr>
        <w:t>Corporate action constituting a grant by the Company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 w:name="page18"/>
    <w:bookmarkEnd w:id="17"/>
    <w:p>
      <w:pPr>
        <w:jc w:val="both"/>
        <w:spacing w:after="0" w:line="239" w:lineRule="auto"/>
        <w:rPr>
          <w:sz w:val="20"/>
          <w:szCs w:val="20"/>
          <w:color w:val="auto"/>
        </w:rPr>
      </w:pPr>
      <w:r>
        <w:rPr>
          <w:rFonts w:ascii="Times New Roman" w:cs="Times New Roman" w:eastAsia="Times New Roman" w:hAnsi="Times New Roman"/>
          <w:sz w:val="22"/>
          <w:szCs w:val="22"/>
          <w:color w:val="auto"/>
        </w:rPr>
        <w:t>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76" w:lineRule="exact"/>
        <w:rPr>
          <w:sz w:val="20"/>
          <w:szCs w:val="20"/>
          <w:color w:val="auto"/>
        </w:rPr>
      </w:pPr>
    </w:p>
    <w:p>
      <w:pPr>
        <w:jc w:val="both"/>
        <w:ind w:firstLine="757"/>
        <w:spacing w:after="0" w:line="238" w:lineRule="auto"/>
        <w:tabs>
          <w:tab w:leader="none" w:pos="1018"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Cancellation and Re-Grant of Awards. </w:t>
      </w:r>
      <w:r>
        <w:rPr>
          <w:rFonts w:ascii="Times New Roman" w:cs="Times New Roman" w:eastAsia="Times New Roman" w:hAnsi="Times New Roman"/>
          <w:sz w:val="22"/>
          <w:szCs w:val="22"/>
          <w:color w:val="auto"/>
        </w:rPr>
        <w:t>Neither the Board nor any Committee will have the authority to (i) reduce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exercise or strike price of any outstanding Option or SAR or (ii) cancel any outstanding Option or SAR that has an exercise or strike price (per share) greater than the then-current Fair Market Value of the Common Stock in exchange for cash or other Awards under the Plan, unless the stockholders of the Company have approved such an action within 12 months prior to such an event.</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(d)Stockholder Rights. </w:t>
      </w:r>
      <w:r>
        <w:rPr>
          <w:rFonts w:ascii="Times New Roman" w:cs="Times New Roman" w:eastAsia="Times New Roman" w:hAnsi="Times New Roman"/>
          <w:sz w:val="22"/>
          <w:szCs w:val="22"/>
          <w:color w:val="auto"/>
        </w:rPr>
        <w:t>No Participant will be deemed to be the holder of, or to have any of the rights of a holder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72" w:lineRule="exact"/>
        <w:rPr>
          <w:sz w:val="20"/>
          <w:szCs w:val="20"/>
          <w:color w:val="auto"/>
        </w:rPr>
      </w:pPr>
    </w:p>
    <w:p>
      <w:pPr>
        <w:jc w:val="both"/>
        <w:ind w:firstLine="757"/>
        <w:spacing w:after="0" w:line="248" w:lineRule="auto"/>
        <w:tabs>
          <w:tab w:leader="none" w:pos="1018" w:val="left"/>
        </w:tabs>
        <w:numPr>
          <w:ilvl w:val="1"/>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Employment or Other Service Rights. </w:t>
      </w:r>
      <w:r>
        <w:rPr>
          <w:rFonts w:ascii="Times New Roman" w:cs="Times New Roman" w:eastAsia="Times New Roman" w:hAnsi="Times New Roman"/>
          <w:sz w:val="21"/>
          <w:szCs w:val="21"/>
          <w:color w:val="auto"/>
        </w:rPr>
        <w:t>Nothing in the Plan, any Award Agreement or any other instrument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35" w:lineRule="auto"/>
        <w:tabs>
          <w:tab w:leader="none" w:pos="3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Change in Time Commitment. </w:t>
      </w:r>
      <w:r>
        <w:rPr>
          <w:rFonts w:ascii="Times New Roman" w:cs="Times New Roman" w:eastAsia="Times New Roman" w:hAnsi="Times New Roman"/>
          <w:sz w:val="22"/>
          <w:szCs w:val="22"/>
          <w:color w:val="auto"/>
        </w:rPr>
        <w:t>In the event a Participant’s regular level of time commitment in the performance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(g)Incentive Stock Option Limitations. </w:t>
      </w:r>
      <w:r>
        <w:rPr>
          <w:rFonts w:ascii="Times New Roman" w:cs="Times New Roman" w:eastAsia="Times New Roman" w:hAnsi="Times New Roman"/>
          <w:sz w:val="22"/>
          <w:szCs w:val="22"/>
          <w:color w:val="auto"/>
        </w:rPr>
        <w:t>To the extent that the aggregate Fair Market Value (determined at the time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 w:name="page19"/>
    <w:bookmarkEnd w:id="18"/>
    <w:p>
      <w:pPr>
        <w:jc w:val="both"/>
        <w:spacing w:after="0" w:line="244" w:lineRule="auto"/>
        <w:rPr>
          <w:sz w:val="20"/>
          <w:szCs w:val="20"/>
          <w:color w:val="auto"/>
        </w:rPr>
      </w:pPr>
      <w:r>
        <w:rPr>
          <w:rFonts w:ascii="Times New Roman" w:cs="Times New Roman" w:eastAsia="Times New Roman" w:hAnsi="Times New Roman"/>
          <w:sz w:val="22"/>
          <w:szCs w:val="22"/>
          <w:color w:val="auto"/>
        </w:rPr>
        <w:t>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(h)Investment Assurances. </w:t>
      </w:r>
      <w:r>
        <w:rPr>
          <w:rFonts w:ascii="Times New Roman" w:cs="Times New Roman" w:eastAsia="Times New Roman" w:hAnsi="Times New Roman"/>
          <w:sz w:val="22"/>
          <w:szCs w:val="22"/>
          <w:color w:val="auto"/>
        </w:rPr>
        <w:t>The Company may require a Participant, as a condition of exercising or acquiring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80" w:lineRule="exact"/>
        <w:rPr>
          <w:sz w:val="20"/>
          <w:szCs w:val="20"/>
          <w:color w:val="auto"/>
        </w:rPr>
      </w:pPr>
    </w:p>
    <w:p>
      <w:pPr>
        <w:jc w:val="both"/>
        <w:ind w:firstLine="757"/>
        <w:spacing w:after="0" w:line="235" w:lineRule="auto"/>
        <w:tabs>
          <w:tab w:leader="none" w:pos="1018"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Unless prohibited by the terms of an Award Agreement, the Company may,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however,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78"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018"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r>
        <w:rPr>
          <w:rFonts w:ascii="Times New Roman" w:cs="Times New Roman" w:eastAsia="Times New Roman" w:hAnsi="Times New Roman"/>
          <w:sz w:val="22"/>
          <w:szCs w:val="22"/>
          <w:color w:val="auto"/>
        </w:rPr>
        <w:t>. Any reference herein to a “written” agreement or document will include any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delivered electronically, filed publicly at www.sec.gov (or any successor website thereto) or posted on the Company’s intranet (or other shared electronic medium controlled by the Company to which the Participant has access).</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(k)Deferrals. </w:t>
      </w:r>
      <w:r>
        <w:rPr>
          <w:rFonts w:ascii="Times New Roman" w:cs="Times New Roman" w:eastAsia="Times New Roman" w:hAnsi="Times New Roman"/>
          <w:sz w:val="22"/>
          <w:szCs w:val="22"/>
          <w:color w:val="auto"/>
        </w:rPr>
        <w:t>To the extent permitted by applicable law, the Board, in its sole discretion, may determine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jc w:val="both"/>
        <w:spacing w:after="0" w:line="244" w:lineRule="auto"/>
        <w:rPr>
          <w:sz w:val="20"/>
          <w:szCs w:val="20"/>
          <w:color w:val="auto"/>
        </w:rPr>
      </w:pPr>
      <w:r>
        <w:rPr>
          <w:rFonts w:ascii="Times New Roman" w:cs="Times New Roman" w:eastAsia="Times New Roman" w:hAnsi="Times New Roman"/>
          <w:sz w:val="22"/>
          <w:szCs w:val="22"/>
          <w:color w:val="auto"/>
        </w:rPr>
        <w:t>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69" w:lineRule="exact"/>
        <w:rPr>
          <w:sz w:val="20"/>
          <w:szCs w:val="20"/>
          <w:color w:val="auto"/>
        </w:rPr>
      </w:pPr>
    </w:p>
    <w:p>
      <w:pPr>
        <w:jc w:val="both"/>
        <w:ind w:firstLine="757"/>
        <w:spacing w:after="0" w:line="233" w:lineRule="auto"/>
        <w:tabs>
          <w:tab w:leader="none" w:pos="1018"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Section 409A of the Code. </w:t>
      </w:r>
      <w:r>
        <w:rPr>
          <w:rFonts w:ascii="Times New Roman" w:cs="Times New Roman" w:eastAsia="Times New Roman" w:hAnsi="Times New Roman"/>
          <w:sz w:val="22"/>
          <w:szCs w:val="22"/>
          <w:color w:val="auto"/>
        </w:rPr>
        <w:t>Unless otherwise expressly provided for in an Award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(m)Clawback/Recovery</w:t>
      </w:r>
      <w:r>
        <w:rPr>
          <w:rFonts w:ascii="Times New Roman" w:cs="Times New Roman" w:eastAsia="Times New Roman" w:hAnsi="Times New Roman"/>
          <w:sz w:val="22"/>
          <w:szCs w:val="22"/>
          <w:color w:val="auto"/>
        </w:rPr>
        <w:t>. All Awards granted under the Plan will be subject to recoupment in accordance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clawback policy that the Company adopted on April 4, 2023 and any other clawback policy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(n)Dividends and Dividend Equivalents</w:t>
      </w:r>
      <w:r>
        <w:rPr>
          <w:rFonts w:ascii="Times New Roman" w:cs="Times New Roman" w:eastAsia="Times New Roman" w:hAnsi="Times New Roman"/>
          <w:sz w:val="22"/>
          <w:szCs w:val="22"/>
          <w:color w:val="auto"/>
        </w:rPr>
        <w:t>. Notwithstanding any other provision in this Plan, (i) no dividends or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22"/>
          <w:szCs w:val="22"/>
          <w:color w:val="auto"/>
        </w:rPr>
        <w:t>the date, if any, such shares are forfeited to or repurchased by the Company due to a failure to meet any vesting conditions under the terms of such Award Agreement.</w:t>
      </w:r>
    </w:p>
    <w:p>
      <w:pPr>
        <w:spacing w:after="0" w:line="154"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(a)Capitalization Adjustments</w:t>
      </w:r>
      <w:r>
        <w:rPr>
          <w:rFonts w:ascii="Times New Roman" w:cs="Times New Roman" w:eastAsia="Times New Roman" w:hAnsi="Times New Roman"/>
          <w:sz w:val="22"/>
          <w:szCs w:val="22"/>
          <w:color w:val="auto"/>
        </w:rPr>
        <w:t>. In the event of a Capitalization Adjustment, the Board will appropriately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proportionately adjust: (i) the class(es) 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Sections 3(d), and (iv) the class(es) and number of securities and price per share of stock subject to outstanding Stock Awards. The Board will make such adjustments, and its determination will be final, binding and conclusive.</w:t>
      </w:r>
    </w:p>
    <w:p>
      <w:pPr>
        <w:spacing w:after="0" w:line="17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(b)Dissolution or Liquidation</w:t>
      </w:r>
      <w:r>
        <w:rPr>
          <w:rFonts w:ascii="Times New Roman" w:cs="Times New Roman" w:eastAsia="Times New Roman" w:hAnsi="Times New Roman"/>
          <w:sz w:val="21"/>
          <w:szCs w:val="21"/>
          <w:color w:val="auto"/>
        </w:rPr>
        <w:t>. Except as otherwise provided in the Stock Award Agreement, in the event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Dissolution of the Company, all 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72" w:lineRule="exact"/>
        <w:rPr>
          <w:sz w:val="20"/>
          <w:szCs w:val="20"/>
          <w:color w:val="auto"/>
        </w:rPr>
      </w:pPr>
    </w:p>
    <w:p>
      <w:pPr>
        <w:jc w:val="both"/>
        <w:ind w:firstLine="757"/>
        <w:spacing w:after="0" w:line="246" w:lineRule="auto"/>
        <w:tabs>
          <w:tab w:leader="none" w:pos="1018"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Transaction. </w:t>
      </w:r>
      <w:r>
        <w:rPr>
          <w:rFonts w:ascii="Times New Roman" w:cs="Times New Roman" w:eastAsia="Times New Roman" w:hAnsi="Times New Roman"/>
          <w:sz w:val="22"/>
          <w:szCs w:val="22"/>
          <w:color w:val="auto"/>
        </w:rPr>
        <w:t>The following provisions will apply to Awards in the event of a Corporate 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provided in the instrument evidencing the Award or any other written agreement between the Company or any Affiliate and the Participant or unless otherwise expressly provided by the Board at the time of grant of an Award.</w:t>
      </w:r>
    </w:p>
    <w:p>
      <w:pPr>
        <w:spacing w:after="0" w:line="167" w:lineRule="exact"/>
        <w:rPr>
          <w:rFonts w:ascii="Times New Roman" w:cs="Times New Roman" w:eastAsia="Times New Roman" w:hAnsi="Times New Roman"/>
          <w:sz w:val="22"/>
          <w:szCs w:val="22"/>
          <w:b w:val="1"/>
          <w:bCs w:val="1"/>
          <w:color w:val="auto"/>
        </w:rPr>
      </w:pPr>
    </w:p>
    <w:p>
      <w:pPr>
        <w:jc w:val="both"/>
        <w:ind w:firstLine="1505"/>
        <w:spacing w:after="0" w:line="234" w:lineRule="auto"/>
        <w:tabs>
          <w:tab w:leader="none" w:pos="2036"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Awards May be Assumed. </w:t>
      </w:r>
      <w:r>
        <w:rPr>
          <w:rFonts w:ascii="Times New Roman" w:cs="Times New Roman" w:eastAsia="Times New Roman" w:hAnsi="Times New Roman"/>
          <w:sz w:val="22"/>
          <w:szCs w:val="22"/>
          <w:color w:val="auto"/>
        </w:rPr>
        <w:t>In the event of a Corporate Transaction, any surviving corporation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79" w:lineRule="exact"/>
        <w:rPr>
          <w:rFonts w:ascii="Times New Roman" w:cs="Times New Roman" w:eastAsia="Times New Roman" w:hAnsi="Times New Roman"/>
          <w:sz w:val="22"/>
          <w:szCs w:val="22"/>
          <w:b w:val="1"/>
          <w:bCs w:val="1"/>
          <w:color w:val="auto"/>
        </w:rPr>
      </w:pPr>
    </w:p>
    <w:p>
      <w:pPr>
        <w:jc w:val="both"/>
        <w:ind w:firstLine="1505"/>
        <w:spacing w:after="0" w:line="246" w:lineRule="auto"/>
        <w:tabs>
          <w:tab w:leader="none" w:pos="2036"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Awards Held by Current Participants. </w:t>
      </w:r>
      <w:r>
        <w:rPr>
          <w:rFonts w:ascii="Times New Roman" w:cs="Times New Roman" w:eastAsia="Times New Roman" w:hAnsi="Times New Roman"/>
          <w:sz w:val="22"/>
          <w:szCs w:val="22"/>
          <w:color w:val="auto"/>
        </w:rPr>
        <w:t>In the event of a Corporate Transaction in which the surviving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or acquiring corporation (or its parent company) does not assume or continue such outstanding Awards or substitute similar awards for such</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both"/>
        <w:spacing w:after="0" w:line="233" w:lineRule="auto"/>
        <w:rPr>
          <w:sz w:val="20"/>
          <w:szCs w:val="20"/>
          <w:color w:val="auto"/>
        </w:rPr>
      </w:pPr>
      <w:r>
        <w:rPr>
          <w:rFonts w:ascii="Times New Roman" w:cs="Times New Roman" w:eastAsia="Times New Roman" w:hAnsi="Times New Roman"/>
          <w:sz w:val="22"/>
          <w:szCs w:val="22"/>
          <w:color w:val="auto"/>
        </w:rPr>
        <w:t>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22"/>
          <w:szCs w:val="22"/>
          <w:b w:val="1"/>
          <w:bCs w:val="1"/>
          <w:i w:val="1"/>
          <w:iCs w:val="1"/>
          <w:color w:val="auto"/>
        </w:rPr>
        <w:t>Current Participants</w:t>
      </w:r>
      <w:r>
        <w:rPr>
          <w:rFonts w:ascii="Times New Roman" w:cs="Times New Roman" w:eastAsia="Times New Roman" w:hAnsi="Times New Roman"/>
          <w:sz w:val="22"/>
          <w:szCs w:val="22"/>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Awards subject to Performance Goals that will accelerate upon the occurrence of a Corporate Transaction pursuant to this subsection (ii) and that have multiple vesting levels depending on the level of performance, unless otherwise provided in the Award Agreement, the vesting of such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73" w:lineRule="exact"/>
        <w:rPr>
          <w:sz w:val="20"/>
          <w:szCs w:val="20"/>
          <w:color w:val="auto"/>
        </w:rPr>
      </w:pPr>
    </w:p>
    <w:p>
      <w:pPr>
        <w:jc w:val="both"/>
        <w:ind w:firstLine="1505"/>
        <w:spacing w:after="0" w:line="236" w:lineRule="auto"/>
        <w:tabs>
          <w:tab w:leader="none" w:pos="203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Awards Held by Persons other than Current Participants. </w:t>
      </w:r>
      <w:r>
        <w:rPr>
          <w:rFonts w:ascii="Times New Roman" w:cs="Times New Roman" w:eastAsia="Times New Roman" w:hAnsi="Times New Roman"/>
          <w:sz w:val="22"/>
          <w:szCs w:val="22"/>
          <w:color w:val="auto"/>
        </w:rPr>
        <w:t>In the event of a Corporate Transaction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7" w:lineRule="auto"/>
        <w:tabs>
          <w:tab w:leader="none" w:pos="203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for Awards in Lieu of Exercise. </w:t>
      </w:r>
      <w:r>
        <w:rPr>
          <w:rFonts w:ascii="Times New Roman" w:cs="Times New Roman" w:eastAsia="Times New Roman" w:hAnsi="Times New Roman"/>
          <w:sz w:val="22"/>
          <w:szCs w:val="22"/>
          <w:color w:val="auto"/>
        </w:rPr>
        <w:t>Notwithstanding the foregoing, in the event an Award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(d)Change in Control. </w:t>
      </w:r>
      <w:r>
        <w:rPr>
          <w:rFonts w:ascii="Times New Roman" w:cs="Times New Roman" w:eastAsia="Times New Roman" w:hAnsi="Times New Roman"/>
          <w:sz w:val="22"/>
          <w:szCs w:val="22"/>
          <w:color w:val="auto"/>
        </w:rPr>
        <w:t>A Stock Award may be subject to additional acceleration of vesting and exercisability upon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a 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ind w:left="520" w:hanging="512"/>
        <w:spacing w:after="0"/>
        <w:tabs>
          <w:tab w:leader="none" w:pos="52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arlier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Board may suspend or terminate the Plan at any time. No Incentive Stock Options may be granted after the tenth anniversary of the earlier of (i) the date the Plan is most recently adopted by the Board, or (ii) the date the Plan is most recently approved by the stockholders of the Company. No Awards may be granted under the Plan while the Plan is suspended or after it is terminated.</w:t>
      </w:r>
    </w:p>
    <w:p>
      <w:pPr>
        <w:spacing w:after="0" w:line="176"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Plan originally became effective on August 29, 2014 upon the adoption by the Board of Directors of Kura (the “</w:t>
      </w:r>
      <w:r>
        <w:rPr>
          <w:rFonts w:ascii="Times New Roman" w:cs="Times New Roman" w:eastAsia="Times New Roman" w:hAnsi="Times New Roman"/>
          <w:sz w:val="22"/>
          <w:szCs w:val="22"/>
          <w:b w:val="1"/>
          <w:bCs w:val="1"/>
          <w:i w:val="1"/>
          <w:iCs w:val="1"/>
          <w:color w:val="auto"/>
        </w:rPr>
        <w:t>Original Adoption Date</w:t>
      </w:r>
      <w:r>
        <w:rPr>
          <w:rFonts w:ascii="Times New Roman" w:cs="Times New Roman" w:eastAsia="Times New Roman" w:hAnsi="Times New Roman"/>
          <w:sz w:val="22"/>
          <w:szCs w:val="22"/>
          <w:color w:val="auto"/>
        </w:rPr>
        <w:t>”). The Plan, as assumed and as amended and restated by the Company in connection with the Merger, became effective upon the date that was 20 days after the mailing of a Schedule 14C Information Statement to the stockholders of the Company.</w:t>
      </w:r>
    </w:p>
    <w:p>
      <w:pPr>
        <w:spacing w:after="0" w:line="176"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laws of the State of Delaware will govern all questions concerning the construction, validity and interpretation of this Plan, without regard to that state’s conflict of laws rules.</w:t>
      </w:r>
    </w:p>
    <w:p>
      <w:pPr>
        <w:spacing w:after="0" w:line="154"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used in the Plan, the following definitions will apply to the capitalized terms indicated below:</w:t>
      </w:r>
    </w:p>
    <w:p>
      <w:pPr>
        <w:spacing w:after="0" w:line="204" w:lineRule="exact"/>
        <w:rPr>
          <w:rFonts w:ascii="Times New Roman" w:cs="Times New Roman" w:eastAsia="Times New Roman" w:hAnsi="Times New Roman"/>
          <w:sz w:val="22"/>
          <w:szCs w:val="22"/>
          <w:b w:val="1"/>
          <w:bCs w:val="1"/>
          <w:color w:val="auto"/>
        </w:rPr>
      </w:pPr>
    </w:p>
    <w:p>
      <w:pPr>
        <w:jc w:val="both"/>
        <w:ind w:firstLine="757"/>
        <w:spacing w:after="0" w:line="247" w:lineRule="auto"/>
        <w:tabs>
          <w:tab w:leader="none" w:pos="1018"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means a Stock Award or a Performance Cash Award.</w:t>
      </w:r>
    </w:p>
    <w:p>
      <w:pPr>
        <w:spacing w:after="0" w:line="206" w:lineRule="exact"/>
        <w:rPr>
          <w:sz w:val="20"/>
          <w:szCs w:val="20"/>
          <w:color w:val="auto"/>
        </w:rPr>
      </w:pPr>
    </w:p>
    <w:p>
      <w:pPr>
        <w:ind w:right="20" w:firstLine="757"/>
        <w:spacing w:after="0" w:line="264" w:lineRule="auto"/>
        <w:tabs>
          <w:tab w:leader="none" w:pos="101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means a written agreement between the Company and a Participant evidencing the terms and conditions of an Award.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jc w:val="both"/>
        <w:ind w:firstLine="757"/>
        <w:spacing w:after="0" w:line="235" w:lineRule="auto"/>
        <w:tabs>
          <w:tab w:leader="none" w:pos="1018"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Capitalization Adjustment</w:t>
      </w:r>
      <w:r>
        <w:rPr>
          <w:rFonts w:ascii="Times New Roman" w:cs="Times New Roman" w:eastAsia="Times New Roman" w:hAnsi="Times New Roman"/>
          <w:sz w:val="22"/>
          <w:szCs w:val="22"/>
          <w:color w:val="auto"/>
        </w:rPr>
        <w:t>” means any change that is made in, or other events that occur with respect to, the Common Stock subject to the Plan or subject to any Stock Award after the Original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 w:name="page24"/>
    <w:bookmarkEnd w:id="23"/>
    <w:p>
      <w:pPr>
        <w:jc w:val="both"/>
        <w:ind w:firstLine="757"/>
        <w:spacing w:after="0" w:line="246" w:lineRule="auto"/>
        <w:tabs>
          <w:tab w:leader="none" w:pos="1018"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w:t>
      </w:r>
    </w:p>
    <w:p>
      <w:pPr>
        <w:spacing w:after="0" w:line="2" w:lineRule="exact"/>
        <w:rPr>
          <w:rFonts w:ascii="Times New Roman" w:cs="Times New Roman" w:eastAsia="Times New Roman" w:hAnsi="Times New Roman"/>
          <w:sz w:val="21"/>
          <w:szCs w:val="21"/>
          <w:b w:val="1"/>
          <w:bCs w:val="1"/>
          <w:color w:val="auto"/>
        </w:rPr>
      </w:pPr>
    </w:p>
    <w:p>
      <w:pPr>
        <w:jc w:val="both"/>
        <w:ind w:firstLine="8"/>
        <w:spacing w:after="0" w:line="232" w:lineRule="auto"/>
        <w:tabs>
          <w:tab w:leader="none" w:pos="39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76" w:lineRule="exact"/>
        <w:rPr>
          <w:rFonts w:ascii="Times New Roman" w:cs="Times New Roman" w:eastAsia="Times New Roman" w:hAnsi="Times New Roman"/>
          <w:sz w:val="22"/>
          <w:szCs w:val="22"/>
          <w:color w:val="auto"/>
        </w:rPr>
      </w:pPr>
    </w:p>
    <w:p>
      <w:pPr>
        <w:ind w:right="20" w:firstLine="757"/>
        <w:spacing w:after="0" w:line="264" w:lineRule="auto"/>
        <w:tabs>
          <w:tab w:leader="none" w:pos="1018"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in a single transaction or in a series of related transactions, of any one or more of the following events:</w:t>
      </w:r>
    </w:p>
    <w:p>
      <w:pPr>
        <w:spacing w:after="0" w:line="151" w:lineRule="exact"/>
        <w:rPr>
          <w:rFonts w:ascii="Times New Roman" w:cs="Times New Roman" w:eastAsia="Times New Roman" w:hAnsi="Times New Roman"/>
          <w:sz w:val="22"/>
          <w:szCs w:val="22"/>
          <w:b w:val="1"/>
          <w:bCs w:val="1"/>
          <w:color w:val="auto"/>
        </w:rPr>
      </w:pPr>
    </w:p>
    <w:p>
      <w:pPr>
        <w:jc w:val="both"/>
        <w:ind w:firstLine="1505"/>
        <w:spacing w:after="0" w:line="249" w:lineRule="auto"/>
        <w:tabs>
          <w:tab w:leader="none" w:pos="2036" w:val="left"/>
        </w:tabs>
        <w:numPr>
          <w:ilvl w:val="2"/>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w:t>
      </w:r>
    </w:p>
    <w:p>
      <w:pPr>
        <w:spacing w:after="0" w:line="1" w:lineRule="exact"/>
        <w:rPr>
          <w:rFonts w:ascii="Times New Roman" w:cs="Times New Roman" w:eastAsia="Times New Roman" w:hAnsi="Times New Roman"/>
          <w:sz w:val="21"/>
          <w:szCs w:val="21"/>
          <w:b w:val="1"/>
          <w:bCs w:val="1"/>
          <w:color w:val="auto"/>
        </w:rPr>
      </w:pPr>
    </w:p>
    <w:p>
      <w:pPr>
        <w:jc w:val="both"/>
        <w:spacing w:after="0" w:line="243"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1"/>
          <w:szCs w:val="21"/>
          <w:b w:val="1"/>
          <w:bCs w:val="1"/>
          <w:i w:val="1"/>
          <w:iCs w:val="1"/>
          <w:color w:val="auto"/>
        </w:rPr>
        <w:t>Subject Person</w:t>
      </w:r>
      <w:r>
        <w:rPr>
          <w:rFonts w:ascii="Times New Roman" w:cs="Times New Roman" w:eastAsia="Times New Roman" w:hAnsi="Times New Roman"/>
          <w:sz w:val="21"/>
          <w:szCs w:val="21"/>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6" w:lineRule="exact"/>
        <w:rPr>
          <w:rFonts w:ascii="Times New Roman" w:cs="Times New Roman" w:eastAsia="Times New Roman" w:hAnsi="Times New Roman"/>
          <w:sz w:val="21"/>
          <w:szCs w:val="21"/>
          <w:b w:val="1"/>
          <w:bCs w:val="1"/>
          <w:color w:val="auto"/>
        </w:rPr>
      </w:pPr>
    </w:p>
    <w:p>
      <w:pPr>
        <w:jc w:val="both"/>
        <w:ind w:firstLine="1505"/>
        <w:spacing w:after="0" w:line="235" w:lineRule="auto"/>
        <w:tabs>
          <w:tab w:leader="none" w:pos="2036" w:val="left"/>
        </w:tabs>
        <w:numPr>
          <w:ilvl w:val="2"/>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4" w:name="page25"/>
    <w:bookmarkEnd w:id="24"/>
    <w:p>
      <w:pPr>
        <w:jc w:val="both"/>
        <w:ind w:firstLine="1505"/>
        <w:spacing w:after="0" w:line="236" w:lineRule="auto"/>
        <w:tabs>
          <w:tab w:leader="none" w:pos="203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5"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individuals who, on the date the Plan is adopted by the Board, are members of the Board (the “</w:t>
      </w:r>
      <w:r>
        <w:rPr>
          <w:rFonts w:ascii="Times New Roman" w:cs="Times New Roman" w:eastAsia="Times New Roman" w:hAnsi="Times New Roman"/>
          <w:sz w:val="22"/>
          <w:szCs w:val="22"/>
          <w:b w:val="1"/>
          <w:bCs w:val="1"/>
          <w:i w:val="1"/>
          <w:iCs w:val="1"/>
          <w:color w:val="auto"/>
        </w:rPr>
        <w:t>Incumbent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cease for any reason to constitute at least a majority of the members of the Board;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no definition of Change in Control or any analogous term is set forth in such an individual written agreement,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foregoing definition will apply.</w:t>
      </w:r>
    </w:p>
    <w:p>
      <w:pPr>
        <w:spacing w:after="0" w:line="17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including any applicable regulations and guidance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thereunder.</w:t>
      </w:r>
    </w:p>
    <w:p>
      <w:pPr>
        <w:spacing w:after="0" w:line="145" w:lineRule="exact"/>
        <w:rPr>
          <w:sz w:val="20"/>
          <w:szCs w:val="20"/>
          <w:color w:val="auto"/>
        </w:rPr>
      </w:pPr>
    </w:p>
    <w:p>
      <w:pPr>
        <w:ind w:firstLine="757"/>
        <w:spacing w:after="0" w:line="264" w:lineRule="auto"/>
        <w:tabs>
          <w:tab w:leader="none" w:pos="1018"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a committee of one or more Directors to whom authority has been delegated by the Board in accordance with Section 2(c).</w:t>
      </w:r>
    </w:p>
    <w:p>
      <w:pPr>
        <w:spacing w:after="0" w:line="14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the common stock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Kura Oncology, Inc., a Delaware corporation.</w:t>
      </w:r>
    </w:p>
    <w:p>
      <w:pPr>
        <w:spacing w:after="0" w:line="206" w:lineRule="exact"/>
        <w:rPr>
          <w:sz w:val="20"/>
          <w:szCs w:val="20"/>
          <w:color w:val="auto"/>
        </w:rPr>
      </w:pPr>
    </w:p>
    <w:p>
      <w:pPr>
        <w:jc w:val="both"/>
        <w:ind w:firstLine="757"/>
        <w:spacing w:after="0" w:line="237" w:lineRule="auto"/>
        <w:tabs>
          <w:tab w:leader="none" w:pos="101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Consultant</w:t>
      </w:r>
      <w:r>
        <w:rPr>
          <w:rFonts w:ascii="Times New Roman" w:cs="Times New Roman" w:eastAsia="Times New Roman" w:hAnsi="Times New Roman"/>
          <w:sz w:val="22"/>
          <w:szCs w:val="22"/>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Continuous Service</w:t>
      </w:r>
      <w:r>
        <w:rPr>
          <w:rFonts w:ascii="Times New Roman" w:cs="Times New Roman" w:eastAsia="Times New Roman" w:hAnsi="Times New Roman"/>
          <w:sz w:val="22"/>
          <w:szCs w:val="22"/>
          <w:color w:val="auto"/>
        </w:rPr>
        <w:t>” means that the Participant’s service with the Company or an Affiliate, whether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22"/>
          <w:szCs w:val="22"/>
          <w:i w:val="1"/>
          <w:iCs w:val="1"/>
          <w:color w:val="auto"/>
        </w:rPr>
        <w:t>provided,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Entity for which a Participant is rendering services ceases to qualify as an Affiliate, as determined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7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the consummation, in a single transaction or in a series of related transactions,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one or more of the following events:</w:t>
      </w:r>
    </w:p>
    <w:p>
      <w:pPr>
        <w:spacing w:after="0" w:line="151" w:lineRule="exact"/>
        <w:rPr>
          <w:sz w:val="20"/>
          <w:szCs w:val="20"/>
          <w:color w:val="auto"/>
        </w:rPr>
      </w:pPr>
    </w:p>
    <w:p>
      <w:pPr>
        <w:ind w:firstLine="1505"/>
        <w:spacing w:after="0" w:line="258" w:lineRule="auto"/>
        <w:tabs>
          <w:tab w:leader="none" w:pos="203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all or substantially all, as determined by the Board, in its sole discretion, of the consolidated assets of the Company and its Subsidiaries;</w:t>
      </w:r>
    </w:p>
    <w:p>
      <w:pPr>
        <w:spacing w:after="0" w:line="158"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at least 90% of the outstanding securities of the Company;</w:t>
      </w:r>
    </w:p>
    <w:p>
      <w:pPr>
        <w:spacing w:after="0" w:line="206"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not the surviving</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corporation; or</w:t>
      </w:r>
    </w:p>
    <w:p>
      <w:pPr>
        <w:spacing w:after="0" w:line="182"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required for compliance with Section 409A of the Code, in no event will a Corporate Transaction be deemed to have occurred if such transaction is not also a “change in the ownership or effective control of” the Company or “a change in the ownership of a substantial portion of the assets of” the Company as determined under Treasury Regulation Section 1.409A-3(i)</w:t>
      </w:r>
    </w:p>
    <w:p>
      <w:pPr>
        <w:ind w:left="320" w:hanging="312"/>
        <w:spacing w:after="0"/>
        <w:tabs>
          <w:tab w:leader="none" w:pos="3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regard to any alternative definition thereunder).</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b w:val="1"/>
          <w:bCs w:val="1"/>
          <w:color w:val="auto"/>
        </w:rPr>
        <w:t>(p)</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means, with respect to a Participant, the inability of such Participant to engage in any substantial gainful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activity by reason of any medically determinable physical or mental impairment that can be expected to result in death or that has lasted or can be expected to last for a continuous period of not less than 12 months, as provided in Sections 22(e)(3)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22"/>
          <w:szCs w:val="22"/>
          <w:color w:val="auto"/>
        </w:rPr>
        <w:t>409A(a)(2)(c)(i) of the Code, and will be determined by the Board on the basis of such medical evidence as the Board deems warranted under the circumstances.</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(q)</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Dissolution</w:t>
      </w:r>
      <w:r>
        <w:rPr>
          <w:rFonts w:ascii="Times New Roman" w:cs="Times New Roman" w:eastAsia="Times New Roman" w:hAnsi="Times New Roman"/>
          <w:sz w:val="22"/>
          <w:szCs w:val="22"/>
          <w:color w:val="auto"/>
        </w:rPr>
        <w:t>” means when the Company, after having executed a certificate of dissolution with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has completely wound up its affairs. Conversion of the Company into a Limited Liability Company will not be considered a “Dissolution” for purposes of the Plan.</w:t>
      </w:r>
    </w:p>
    <w:p>
      <w:pPr>
        <w:spacing w:after="0" w:line="164" w:lineRule="exact"/>
        <w:rPr>
          <w:sz w:val="20"/>
          <w:szCs w:val="20"/>
          <w:color w:val="auto"/>
        </w:rPr>
      </w:pPr>
    </w:p>
    <w:p>
      <w:pPr>
        <w:ind w:firstLine="757"/>
        <w:spacing w:after="0" w:line="264" w:lineRule="auto"/>
        <w:tabs>
          <w:tab w:leader="none" w:pos="101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means any person employed by the Company or an Affiliate. However, service solely as a Director, or payment of a fee for such services, will not cause a Director to be considered an “Employee” for purposes of the Plan.</w:t>
      </w:r>
    </w:p>
    <w:p>
      <w:pPr>
        <w:spacing w:after="0" w:line="14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Entity</w:t>
      </w:r>
      <w:r>
        <w:rPr>
          <w:rFonts w:ascii="Times New Roman" w:cs="Times New Roman" w:eastAsia="Times New Roman" w:hAnsi="Times New Roman"/>
          <w:sz w:val="22"/>
          <w:szCs w:val="22"/>
          <w:color w:val="auto"/>
        </w:rPr>
        <w:t>” means a corporation, partnership, limited liability company or other entity.</w:t>
      </w:r>
    </w:p>
    <w:p>
      <w:pPr>
        <w:spacing w:after="0" w:line="206"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 and the rules and regulations promulgated</w:t>
      </w:r>
    </w:p>
    <w:p>
      <w:pPr>
        <w:spacing w:after="0" w:line="31"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thereunder.</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 Person</w:t>
      </w:r>
      <w:r>
        <w:rPr>
          <w:rFonts w:ascii="Times New Roman" w:cs="Times New Roman" w:eastAsia="Times New Roman" w:hAnsi="Times New Roman"/>
          <w:sz w:val="22"/>
          <w:szCs w:val="22"/>
          <w:color w:val="auto"/>
        </w:rPr>
        <w:t>” means any natural person, Entity or “group” (within the meaning of Section 13(d) or 14(d)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Exchange Act), except that “Exchange Act Person” will not include (i) the Company or any Subsidiary of the Company,</w:t>
      </w:r>
    </w:p>
    <w:p>
      <w:pPr>
        <w:spacing w:after="0" w:line="2" w:lineRule="exact"/>
        <w:rPr>
          <w:sz w:val="20"/>
          <w:szCs w:val="20"/>
          <w:color w:val="auto"/>
        </w:rPr>
      </w:pPr>
    </w:p>
    <w:p>
      <w:pPr>
        <w:jc w:val="both"/>
        <w:ind w:firstLine="8"/>
        <w:spacing w:after="0" w:line="232" w:lineRule="auto"/>
        <w:tabs>
          <w:tab w:leader="none" w:pos="35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Amendment Date, is the Owner, directly or indirectly, of securities of the Company representing more than 50% of the combined voting power of the Company’s then outstanding securities.</w:t>
      </w:r>
    </w:p>
    <w:p>
      <w:pPr>
        <w:spacing w:after="0" w:line="17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as of any date, the value of the Common Stock determined as follows:</w:t>
      </w:r>
    </w:p>
    <w:p>
      <w:pPr>
        <w:spacing w:after="0" w:line="212"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36" w:val="left"/>
        </w:tabs>
        <w:numPr>
          <w:ilvl w:val="2"/>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80" w:lineRule="exact"/>
        <w:rPr>
          <w:rFonts w:ascii="Times New Roman" w:cs="Times New Roman" w:eastAsia="Times New Roman" w:hAnsi="Times New Roman"/>
          <w:sz w:val="22"/>
          <w:szCs w:val="22"/>
          <w:b w:val="1"/>
          <w:bCs w:val="1"/>
          <w:color w:val="auto"/>
        </w:rPr>
      </w:pPr>
    </w:p>
    <w:p>
      <w:pPr>
        <w:jc w:val="both"/>
        <w:ind w:firstLine="1505"/>
        <w:spacing w:after="0" w:line="244" w:lineRule="auto"/>
        <w:tabs>
          <w:tab w:leader="none" w:pos="2036" w:val="left"/>
        </w:tabs>
        <w:numPr>
          <w:ilvl w:val="2"/>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73"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36" w:val="left"/>
        </w:tabs>
        <w:numPr>
          <w:ilvl w:val="2"/>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absence of such markets for the Common Stock, the Fair Market Value will be determined by the Board in good faith and in a manner that complies with Sections 409A and 422 of the Code.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Full Value Award</w:t>
      </w:r>
      <w:r>
        <w:rPr>
          <w:rFonts w:ascii="Times New Roman" w:cs="Times New Roman" w:eastAsia="Times New Roman" w:hAnsi="Times New Roman"/>
          <w:sz w:val="22"/>
          <w:szCs w:val="22"/>
          <w:color w:val="auto"/>
        </w:rPr>
        <w:t>” means a Stock Award that is not an Option or SAR with respect to which the exercise or strike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price is at least 100% of the Fair Market Value of the Common Stock subject to the Option or SAR on the date of grant.</w:t>
      </w:r>
    </w:p>
    <w:p>
      <w:pPr>
        <w:spacing w:after="0" w:line="145" w:lineRule="exact"/>
        <w:rPr>
          <w:sz w:val="20"/>
          <w:szCs w:val="20"/>
          <w:color w:val="auto"/>
        </w:rPr>
      </w:pPr>
    </w:p>
    <w:p>
      <w:pPr>
        <w:ind w:firstLine="757"/>
        <w:spacing w:after="0" w:line="264" w:lineRule="auto"/>
        <w:tabs>
          <w:tab w:leader="none" w:pos="1018"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Stock Option</w:t>
      </w:r>
      <w:r>
        <w:rPr>
          <w:rFonts w:ascii="Times New Roman" w:cs="Times New Roman" w:eastAsia="Times New Roman" w:hAnsi="Times New Roman"/>
          <w:sz w:val="22"/>
          <w:szCs w:val="22"/>
          <w:color w:val="auto"/>
        </w:rPr>
        <w:t>” means an option granted pursuant to Section 5 of the Plan that is intended to be, and qualifies as, an “incentive stock option” within the meaning of Section 422 of the Code.</w:t>
      </w:r>
    </w:p>
    <w:p>
      <w:pPr>
        <w:spacing w:after="0" w:line="145"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22"/>
          <w:szCs w:val="22"/>
          <w:b w:val="1"/>
          <w:bCs w:val="1"/>
          <w:i w:val="1"/>
          <w:iCs w:val="1"/>
          <w:color w:val="auto"/>
        </w:rPr>
        <w:t>Regulation S-K</w:t>
      </w:r>
      <w:r>
        <w:rPr>
          <w:rFonts w:ascii="Times New Roman" w:cs="Times New Roman" w:eastAsia="Times New Roman" w:hAnsi="Times New Roman"/>
          <w:sz w:val="22"/>
          <w:szCs w:val="22"/>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5" w:lineRule="exact"/>
        <w:rPr>
          <w:rFonts w:ascii="Times New Roman" w:cs="Times New Roman" w:eastAsia="Times New Roman" w:hAnsi="Times New Roman"/>
          <w:sz w:val="22"/>
          <w:szCs w:val="22"/>
          <w:b w:val="1"/>
          <w:bCs w:val="1"/>
          <w:color w:val="auto"/>
        </w:rPr>
      </w:pPr>
    </w:p>
    <w:p>
      <w:pPr>
        <w:ind w:firstLine="757"/>
        <w:spacing w:after="0" w:line="264" w:lineRule="auto"/>
        <w:tabs>
          <w:tab w:leader="none" w:pos="1018"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Nonstatutory Stock Option</w:t>
      </w:r>
      <w:r>
        <w:rPr>
          <w:rFonts w:ascii="Times New Roman" w:cs="Times New Roman" w:eastAsia="Times New Roman" w:hAnsi="Times New Roman"/>
          <w:sz w:val="22"/>
          <w:szCs w:val="22"/>
          <w:color w:val="auto"/>
        </w:rPr>
        <w:t>” means any Option granted pursuant to Section 5 of the Plan that does not qualify as an Incentive Stock Option.</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(aa)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Officer</w:t>
      </w:r>
      <w:r>
        <w:rPr>
          <w:rFonts w:ascii="Times New Roman" w:cs="Times New Roman" w:eastAsia="Times New Roman" w:hAnsi="Times New Roman"/>
          <w:sz w:val="21"/>
          <w:szCs w:val="21"/>
          <w:color w:val="auto"/>
        </w:rPr>
        <w:t>” means a person who is an officer of the Company within the meaning of Section 16 of the Exchange Act.</w:t>
      </w:r>
    </w:p>
    <w:p>
      <w:pPr>
        <w:spacing w:after="0" w:line="218"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(bb)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means an Incentive Stock Option or a Nonstatutory Stock Option to purchase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pursuant to the Plan.</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(cc)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Agreement</w:t>
      </w:r>
      <w:r>
        <w:rPr>
          <w:rFonts w:ascii="Times New Roman" w:cs="Times New Roman" w:eastAsia="Times New Roman" w:hAnsi="Times New Roman"/>
          <w:sz w:val="22"/>
          <w:szCs w:val="22"/>
          <w:color w:val="auto"/>
        </w:rPr>
        <w:t>” means a written agreement between the Company and an Optionholder evidencing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of an Option grant. Each Option Agreement will be subject to the terms and conditions of the Plan.</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(dd)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Optionholder</w:t>
      </w:r>
      <w:r>
        <w:rPr>
          <w:rFonts w:ascii="Times New Roman" w:cs="Times New Roman" w:eastAsia="Times New Roman" w:hAnsi="Times New Roman"/>
          <w:sz w:val="22"/>
          <w:szCs w:val="22"/>
          <w:color w:val="auto"/>
        </w:rPr>
        <w:t>” means a person to whom an Option is granted pursuant to the Plan or, if applicable, such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who holds an outstanding Option.</w:t>
      </w:r>
    </w:p>
    <w:p>
      <w:pPr>
        <w:spacing w:after="0" w:line="145"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(ee)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Stock Award</w:t>
      </w:r>
      <w:r>
        <w:rPr>
          <w:rFonts w:ascii="Times New Roman" w:cs="Times New Roman" w:eastAsia="Times New Roman" w:hAnsi="Times New Roman"/>
          <w:sz w:val="22"/>
          <w:szCs w:val="22"/>
          <w:color w:val="auto"/>
        </w:rPr>
        <w:t>” means an award based in whole or in part by reference to the Common Stock which is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and conditions of Section 6(d).</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(ff)</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Stock Award Agreement</w:t>
      </w:r>
      <w:r>
        <w:rPr>
          <w:rFonts w:ascii="Times New Roman" w:cs="Times New Roman" w:eastAsia="Times New Roman" w:hAnsi="Times New Roman"/>
          <w:sz w:val="22"/>
          <w:szCs w:val="22"/>
          <w:color w:val="auto"/>
        </w:rPr>
        <w:t>” means a written agreement between the Company and a holder of an Other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evidencing the terms and conditions of an Other Stock Award grant. Each Other Stock Award Agreement will be subject to the terms and conditions of the Plan.</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(gg)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Ownership</w:t>
      </w:r>
      <w:r>
        <w:rPr>
          <w:rFonts w:ascii="Times New Roman" w:cs="Times New Roman" w:eastAsia="Times New Roman" w:hAnsi="Times New Roman"/>
          <w:sz w:val="22"/>
          <w:szCs w:val="22"/>
          <w:color w:val="auto"/>
        </w:rPr>
        <w:t>” means a person or Entity will be deemed to “Own,” to have “Owned,”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8" w:name="page29"/>
    <w:bookmarkEnd w:id="28"/>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(hh)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 person to whom an Award is granted pursuant to the Plan or, if applicable, such other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holds an outstanding Stock Award.</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Cash Award</w:t>
      </w:r>
      <w:r>
        <w:rPr>
          <w:rFonts w:ascii="Times New Roman" w:cs="Times New Roman" w:eastAsia="Times New Roman" w:hAnsi="Times New Roman"/>
          <w:sz w:val="21"/>
          <w:szCs w:val="21"/>
          <w:color w:val="auto"/>
        </w:rPr>
        <w:t>” means an award of cash granted pursuant to the terms and conditions of Section 6(c)(ii).</w:t>
      </w:r>
    </w:p>
    <w:p>
      <w:pPr>
        <w:spacing w:after="0" w:line="21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(jj)</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Performance Criteria</w:t>
      </w:r>
      <w:r>
        <w:rPr>
          <w:rFonts w:ascii="Times New Roman" w:cs="Times New Roman" w:eastAsia="Times New Roman" w:hAnsi="Times New Roman"/>
          <w:sz w:val="21"/>
          <w:szCs w:val="21"/>
          <w:color w:val="auto"/>
        </w:rPr>
        <w:t>” means the one or more criteria that the Board will select for purposes of establishing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Goals for a Performance Period. The Performance Criteria that will be used to establish such Performance Goals may be based on any one of, or combination of, the following as determined by the Board: (1) earnings (including earnings per share and net earnings); (2) earnings before interest, taxes and depreciation; (3) earnings before interest, taxes, depreciation and amortization; (4) earnings before interest, taxes, depreciation, amortization and legal settlements; (5) earnings before interest, taxes, depreciation, amortization, legal settlements and other income (expense); (6) earnings before interest, taxes, depreciation, amortization, legal settlements, other income (expense) and stock-based compensation; (7) earnings before interest, taxes, depreciation, amortization, legal settlements, other income (expense), stock-based compensation and changes in deferred revenue; (8) total stockholder return; (9) return on equity or average stockholders’ equity; (10) return on assets, investment, or capital employed; (11) stock price; (12) margin (including gross margin); (13) income (before or after taxes); (14) operating income; (15) operating income after taxes; (16) pre-tax profit; (17) operating cash flow; (18) sales or revenue targets; (19) increases in revenue or product revenue; (20) expenses and cost reduction goals; (21) improvement in or attainment of working capital levels; (22) economic value added (or an equivalent metric); (23) market share; (24) cash flow; (25) cash flow per share;</w:t>
      </w:r>
    </w:p>
    <w:p>
      <w:pPr>
        <w:spacing w:after="0" w:line="11" w:lineRule="exact"/>
        <w:rPr>
          <w:sz w:val="20"/>
          <w:szCs w:val="20"/>
          <w:color w:val="auto"/>
        </w:rPr>
      </w:pPr>
    </w:p>
    <w:p>
      <w:pPr>
        <w:jc w:val="both"/>
        <w:ind w:firstLine="8"/>
        <w:spacing w:after="0" w:line="230" w:lineRule="auto"/>
        <w:tabs>
          <w:tab w:leader="none" w:pos="44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price performance; (27) debt reduction; (28) stockholders’ equity; (29) capital expenditures; (30) debt levels; (31) operating profit or net operating profit; (32) workforce diversity; (33) growth of net income or operating income; (34) billings;</w:t>
      </w:r>
    </w:p>
    <w:p>
      <w:pPr>
        <w:spacing w:after="0" w:line="1" w:lineRule="exact"/>
        <w:rPr>
          <w:rFonts w:ascii="Times New Roman" w:cs="Times New Roman" w:eastAsia="Times New Roman" w:hAnsi="Times New Roman"/>
          <w:sz w:val="22"/>
          <w:szCs w:val="22"/>
          <w:color w:val="auto"/>
        </w:rPr>
      </w:pPr>
    </w:p>
    <w:p>
      <w:pPr>
        <w:jc w:val="both"/>
        <w:ind w:firstLine="8"/>
        <w:spacing w:after="0" w:line="230" w:lineRule="auto"/>
        <w:tabs>
          <w:tab w:leader="none" w:pos="43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bookings; (36) employee retention; (37) initiation of phases of clinical trials and/or studies by specific dates; (38) patient enrollment rates; (39) budget management; (40) submission to, or approval by, a regulatory body (including, but not limited to the FDA) of an applicable filing or a product candidate; (41) implementation or completion of projects or processes (including, without limitation, clinical trial initiation, clinical trial enrollment, clinical trial results, new and supplemental indications for existing products, regulatory filing submissions, regulatory filing acceptances, regulatory or advisory committee interactions, regulatory approvals, and product supply); (42) regulatory milestones; (43) progress of internal research or clinical programs;</w:t>
      </w:r>
    </w:p>
    <w:p>
      <w:pPr>
        <w:spacing w:after="0" w:line="3" w:lineRule="exact"/>
        <w:rPr>
          <w:rFonts w:ascii="Times New Roman" w:cs="Times New Roman" w:eastAsia="Times New Roman" w:hAnsi="Times New Roman"/>
          <w:sz w:val="22"/>
          <w:szCs w:val="22"/>
          <w:color w:val="auto"/>
        </w:rPr>
      </w:pPr>
    </w:p>
    <w:p>
      <w:pPr>
        <w:jc w:val="both"/>
        <w:ind w:firstLine="8"/>
        <w:spacing w:after="0" w:line="234" w:lineRule="auto"/>
        <w:tabs>
          <w:tab w:leader="none" w:pos="42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progress of partnered programs; (45) partner satisfaction; (46) timely completion of clinical trials; (47) submission of INDs and NDAs and other regulatory achievements; (48) research progress, including the development of programs; (49) strategic partnerships or transactions (including in-licensing and out-licensing of intellectual property); and (50) other measures of performance selected by the Board.</w:t>
      </w:r>
    </w:p>
    <w:p>
      <w:pPr>
        <w:spacing w:after="0" w:line="17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(kk)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Goals</w:t>
      </w:r>
      <w:r>
        <w:rPr>
          <w:rFonts w:ascii="Times New Roman" w:cs="Times New Roman" w:eastAsia="Times New Roman" w:hAnsi="Times New Roman"/>
          <w:sz w:val="22"/>
          <w:szCs w:val="22"/>
          <w:color w:val="auto"/>
        </w:rPr>
        <w:t>” means, for a Performance Period, the one or more goals established by the Board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9" w:name="page30"/>
    <w:bookmarkEnd w:id="29"/>
    <w:p>
      <w:pPr>
        <w:jc w:val="both"/>
        <w:spacing w:after="0" w:line="232" w:lineRule="auto"/>
        <w:rPr>
          <w:sz w:val="20"/>
          <w:szCs w:val="20"/>
          <w:color w:val="auto"/>
        </w:rPr>
      </w:pPr>
      <w:r>
        <w:rPr>
          <w:rFonts w:ascii="Times New Roman" w:cs="Times New Roman" w:eastAsia="Times New Roman" w:hAnsi="Times New Roman"/>
          <w:sz w:val="22"/>
          <w:szCs w:val="22"/>
          <w:color w:val="auto"/>
        </w:rPr>
        <w:t>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“extraordinary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(12) to exclude the effect of any other unusual, non-recurring gain or loss or other extraordinary item; and (13) to exclude the effects of the timing of acceptance for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8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(ll)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color w:val="auto"/>
        </w:rPr>
        <w:t>” means the period of time selected by the Board over which the attainment of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will be measured for the purpose of determining a Participant’s right to and the payment of a Stock Award or a Performance Cash Award. Performance Periods may be of varying and overlapping duration, at the sole discretion of the Board.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(mm)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Stock Award</w:t>
      </w:r>
      <w:r>
        <w:rPr>
          <w:rFonts w:ascii="Times New Roman" w:cs="Times New Roman" w:eastAsia="Times New Roman" w:hAnsi="Times New Roman"/>
          <w:sz w:val="22"/>
          <w:szCs w:val="22"/>
          <w:color w:val="auto"/>
        </w:rPr>
        <w:t>” means a Stock Award granted under the terms and conditions of Section 6(c)(i).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Kura Oncology, Inc. Amended and Restated 2014 Equity Incentive Plan.</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(oo)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w:t>
      </w:r>
      <w:r>
        <w:rPr>
          <w:rFonts w:ascii="Times New Roman" w:cs="Times New Roman" w:eastAsia="Times New Roman" w:hAnsi="Times New Roman"/>
          <w:sz w:val="22"/>
          <w:szCs w:val="22"/>
          <w:color w:val="auto"/>
        </w:rPr>
        <w:t>” means an award of shares of Common Stock which is granted pursuant to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Section 6(a).</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(pp)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Award Agreement</w:t>
      </w:r>
      <w:r>
        <w:rPr>
          <w:rFonts w:ascii="Times New Roman" w:cs="Times New Roman" w:eastAsia="Times New Roman" w:hAnsi="Times New Roman"/>
          <w:sz w:val="22"/>
          <w:szCs w:val="22"/>
          <w:color w:val="auto"/>
        </w:rPr>
        <w:t>” means a written agreement between the Company and a holder of a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Award evidencing the terms and conditions of a Restricted Stock Award grant. Each Restricted Stock Award Agreement will be subject to the terms and conditions of the Plan.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(qq)</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w:t>
      </w:r>
      <w:r>
        <w:rPr>
          <w:rFonts w:ascii="Times New Roman" w:cs="Times New Roman" w:eastAsia="Times New Roman" w:hAnsi="Times New Roman"/>
          <w:sz w:val="22"/>
          <w:szCs w:val="22"/>
          <w:color w:val="auto"/>
        </w:rPr>
        <w:t>” means a right to receive shares of Common Stock which is granted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Section 6(b).</w:t>
      </w:r>
    </w:p>
    <w:p>
      <w:pPr>
        <w:spacing w:after="0" w:line="145"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(rr)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Stock Unit Award Agreement</w:t>
      </w:r>
      <w:r>
        <w:rPr>
          <w:rFonts w:ascii="Times New Roman" w:cs="Times New Roman" w:eastAsia="Times New Roman" w:hAnsi="Times New Roman"/>
          <w:sz w:val="22"/>
          <w:szCs w:val="22"/>
          <w:color w:val="auto"/>
        </w:rPr>
        <w:t>” means a written agreement between the Company and a holder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 Award evidencing the terms and conditions of a Restricted Stock Unit Award grant. Each Restricted Stock Unit Award Agreement will be subject to the terms and conditions of the Plan.</w:t>
      </w:r>
    </w:p>
    <w:p>
      <w:pPr>
        <w:spacing w:after="0" w:line="164"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(ss)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16b-3</w:t>
      </w:r>
      <w:r>
        <w:rPr>
          <w:rFonts w:ascii="Times New Roman" w:cs="Times New Roman" w:eastAsia="Times New Roman" w:hAnsi="Times New Roman"/>
          <w:sz w:val="22"/>
          <w:szCs w:val="22"/>
          <w:color w:val="auto"/>
        </w:rPr>
        <w:t>” means Rule 16b-3 promulgated under the Exchange Act or any successor to Rule 16b-3, as in effect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w:t>
      </w:r>
    </w:p>
    <w:p>
      <w:pPr>
        <w:spacing w:after="0" w:line="145" w:lineRule="exact"/>
        <w:rPr>
          <w:sz w:val="20"/>
          <w:szCs w:val="20"/>
          <w:color w:val="auto"/>
        </w:rPr>
      </w:pPr>
    </w:p>
    <w:p>
      <w:pPr>
        <w:ind w:left="1100" w:hanging="343"/>
        <w:spacing w:after="0"/>
        <w:tabs>
          <w:tab w:leader="none" w:pos="110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(uu)</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SAR</w:t>
      </w:r>
      <w:r>
        <w:rPr>
          <w:rFonts w:ascii="Times New Roman" w:cs="Times New Roman" w:eastAsia="Times New Roman" w:hAnsi="Times New Roman"/>
          <w:sz w:val="22"/>
          <w:szCs w:val="22"/>
          <w:color w:val="auto"/>
        </w:rPr>
        <w:t>” means a right to receive the appreciation on Common Stock that is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and conditions of Section 5.</w:t>
      </w:r>
    </w:p>
    <w:p>
      <w:pPr>
        <w:spacing w:after="0" w:line="14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(vv)</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Appreciation Right Agreement</w:t>
      </w:r>
      <w:r>
        <w:rPr>
          <w:rFonts w:ascii="Times New Roman" w:cs="Times New Roman" w:eastAsia="Times New Roman" w:hAnsi="Times New Roman"/>
          <w:sz w:val="22"/>
          <w:szCs w:val="22"/>
          <w:color w:val="auto"/>
        </w:rPr>
        <w:t>” means a written agreement between the Company and a holder of a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Appreciation Right evidencing the terms and conditions of a Stock Appreciation Right grant. Each Stock Appreciation Right Agreement will be subject to the terms and conditions of the Plan.</w:t>
      </w:r>
    </w:p>
    <w:p>
      <w:pPr>
        <w:spacing w:after="0" w:line="164"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(ww)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 Award</w:t>
      </w:r>
      <w:r>
        <w:rPr>
          <w:rFonts w:ascii="Times New Roman" w:cs="Times New Roman" w:eastAsia="Times New Roman" w:hAnsi="Times New Roman"/>
          <w:sz w:val="22"/>
          <w:szCs w:val="22"/>
          <w:color w:val="auto"/>
        </w:rPr>
        <w:t>” means any right to receive Common Stock granted under the Plan, including an Incentive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a Nonstatutory Stock Option, a Restricted Stock Award, a Restricted Stock Unit Award, a Stock Appreciation Right, a Performance Stock Award or any Other Stock Award.</w:t>
      </w:r>
    </w:p>
    <w:p>
      <w:pPr>
        <w:spacing w:after="0" w:line="164" w:lineRule="exact"/>
        <w:rPr>
          <w:sz w:val="20"/>
          <w:szCs w:val="20"/>
          <w:color w:val="auto"/>
        </w:rPr>
      </w:pPr>
    </w:p>
    <w:p>
      <w:pPr>
        <w:jc w:val="both"/>
        <w:ind w:right="20" w:firstLine="749"/>
        <w:spacing w:after="0" w:line="288" w:lineRule="auto"/>
        <w:rPr>
          <w:sz w:val="20"/>
          <w:szCs w:val="20"/>
          <w:color w:val="auto"/>
        </w:rPr>
      </w:pPr>
      <w:r>
        <w:rPr>
          <w:rFonts w:ascii="Times New Roman" w:cs="Times New Roman" w:eastAsia="Times New Roman" w:hAnsi="Times New Roman"/>
          <w:sz w:val="21"/>
          <w:szCs w:val="21"/>
          <w:b w:val="1"/>
          <w:bCs w:val="1"/>
          <w:color w:val="auto"/>
        </w:rPr>
        <w:t>(xx)</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Stock Award Agreement</w:t>
      </w:r>
      <w:r>
        <w:rPr>
          <w:rFonts w:ascii="Times New Roman" w:cs="Times New Roman" w:eastAsia="Times New Roman" w:hAnsi="Times New Roman"/>
          <w:sz w:val="21"/>
          <w:szCs w:val="21"/>
          <w:color w:val="auto"/>
        </w:rPr>
        <w:t>” means a written agreement between the Company and a Participant evidencing the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of a Stock Award grant. Each Stock Award Agreement will be subject to the terms and conditions of the Plan.</w:t>
      </w:r>
    </w:p>
    <w:p>
      <w:pPr>
        <w:spacing w:after="0" w:line="12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(yy)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means, with respect to the Company, (i) any corporation of which more than 50% of the outstanding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(zz)</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Ten Percent Stockholder</w:t>
      </w:r>
      <w:r>
        <w:rPr>
          <w:rFonts w:ascii="Times New Roman" w:cs="Times New Roman" w:eastAsia="Times New Roman" w:hAnsi="Times New Roman"/>
          <w:sz w:val="22"/>
          <w:szCs w:val="22"/>
          <w:color w:val="auto"/>
        </w:rPr>
        <w:t>” means a person who Owns (or is deemed to Own pursuant to Section 424(d)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stock possessing more than 10% of the total combined voting power of all classes of stock of the Company or any Affiliate.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31" w:name="page32"/>
    <w:bookmarkEnd w:id="31"/>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3"/>
          <w:szCs w:val="13"/>
          <w:b w:val="1"/>
          <w:bCs w:val="1"/>
          <w:color w:val="auto"/>
        </w:rPr>
        <w:t>URA</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18"/>
          <w:szCs w:val="18"/>
          <w:b w:val="1"/>
          <w:bCs w:val="1"/>
          <w:color w:val="auto"/>
        </w:rPr>
        <w:t xml:space="preserve"> 2014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Pursuant to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Option Agreement, Kura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Amended and Restated 2014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details of your option, in addition to those set forth in the Grant Notice and the Plan, are as follows:</w:t>
      </w:r>
    </w:p>
    <w:p>
      <w:pPr>
        <w:spacing w:after="0" w:line="113" w:lineRule="exact"/>
        <w:rPr>
          <w:sz w:val="20"/>
          <w:szCs w:val="20"/>
          <w:color w:val="auto"/>
        </w:rPr>
      </w:pPr>
    </w:p>
    <w:p>
      <w:pPr>
        <w:ind w:left="700" w:hanging="183"/>
        <w:spacing w:after="0"/>
        <w:tabs>
          <w:tab w:leader="none" w:pos="7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will vest as provided in your Grant Notice, provided that vesting will cease upon the termination of your Continuous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Service.</w:t>
      </w:r>
    </w:p>
    <w:p>
      <w:pPr>
        <w:spacing w:after="0" w:line="94" w:lineRule="exact"/>
        <w:rPr>
          <w:rFonts w:ascii="Times New Roman" w:cs="Times New Roman" w:eastAsia="Times New Roman" w:hAnsi="Times New Roman"/>
          <w:sz w:val="18"/>
          <w:szCs w:val="18"/>
          <w:b w:val="1"/>
          <w:bCs w:val="1"/>
          <w:color w:val="auto"/>
        </w:rPr>
      </w:pPr>
    </w:p>
    <w:p>
      <w:pPr>
        <w:ind w:right="240" w:firstLine="517"/>
        <w:spacing w:after="0" w:line="286" w:lineRule="auto"/>
        <w:tabs>
          <w:tab w:leader="none" w:pos="68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HARES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of Common Stock subject to your option and your exercise price per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Grant Notice will be adjusted for Capitalization Adjustments.</w:t>
      </w:r>
    </w:p>
    <w:p>
      <w:pPr>
        <w:spacing w:after="0" w:line="46" w:lineRule="exact"/>
        <w:rPr>
          <w:rFonts w:ascii="Times New Roman" w:cs="Times New Roman" w:eastAsia="Times New Roman" w:hAnsi="Times New Roman"/>
          <w:sz w:val="18"/>
          <w:szCs w:val="18"/>
          <w:b w:val="1"/>
          <w:bCs w:val="1"/>
          <w:color w:val="auto"/>
        </w:rPr>
      </w:pPr>
    </w:p>
    <w:p>
      <w:pPr>
        <w:ind w:right="100" w:firstLine="517"/>
        <w:spacing w:after="0" w:line="256" w:lineRule="auto"/>
        <w:tabs>
          <w:tab w:leader="none" w:pos="68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ESTRICTION FOR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XEMPT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are an Employee eligible for overtime compensation under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(that is, a “</w:t>
      </w:r>
      <w:r>
        <w:rPr>
          <w:rFonts w:ascii="Times New Roman" w:cs="Times New Roman" w:eastAsia="Times New Roman" w:hAnsi="Times New Roman"/>
          <w:sz w:val="18"/>
          <w:szCs w:val="18"/>
          <w:b w:val="1"/>
          <w:bCs w:val="1"/>
          <w:i w:val="1"/>
          <w:iCs w:val="1"/>
          <w:color w:val="auto"/>
        </w:rPr>
        <w:t>Non-Exempt Employee</w:t>
      </w:r>
      <w:r>
        <w:rPr>
          <w:rFonts w:ascii="Times New Roman" w:cs="Times New Roman" w:eastAsia="Times New Roman" w:hAnsi="Times New Roman"/>
          <w:sz w:val="18"/>
          <w:szCs w:val="18"/>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74" w:lineRule="exact"/>
        <w:rPr>
          <w:rFonts w:ascii="Times New Roman" w:cs="Times New Roman" w:eastAsia="Times New Roman" w:hAnsi="Times New Roman"/>
          <w:sz w:val="18"/>
          <w:szCs w:val="18"/>
          <w:b w:val="1"/>
          <w:bCs w:val="1"/>
          <w:color w:val="auto"/>
        </w:rPr>
      </w:pPr>
    </w:p>
    <w:p>
      <w:pPr>
        <w:jc w:val="both"/>
        <w:ind w:right="320" w:firstLine="517"/>
        <w:spacing w:after="0" w:line="268" w:lineRule="auto"/>
        <w:tabs>
          <w:tab w:leader="none" w:pos="68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 PRIOR TO</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ARLY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permitted in your Grant Notice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“Exercise Schedule” indicates “Early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66" w:lineRule="exact"/>
        <w:rPr>
          <w:rFonts w:ascii="Times New Roman" w:cs="Times New Roman" w:eastAsia="Times New Roman" w:hAnsi="Times New Roman"/>
          <w:sz w:val="18"/>
          <w:szCs w:val="18"/>
          <w:b w:val="1"/>
          <w:bCs w:val="1"/>
          <w:color w:val="auto"/>
        </w:rPr>
      </w:pPr>
    </w:p>
    <w:p>
      <w:pPr>
        <w:ind w:right="100" w:firstLine="1026"/>
        <w:spacing w:after="0" w:line="282" w:lineRule="auto"/>
        <w:tabs>
          <w:tab w:leader="none" w:pos="1273"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partial exercise of your option will be deemed to cover first vested shares of Common Stock and then the earliest vesting installment of unvested shares of Common Stock;</w:t>
      </w:r>
    </w:p>
    <w:p>
      <w:pPr>
        <w:spacing w:after="0" w:line="80" w:lineRule="exact"/>
        <w:rPr>
          <w:rFonts w:ascii="Times New Roman" w:cs="Times New Roman" w:eastAsia="Times New Roman" w:hAnsi="Times New Roman"/>
          <w:sz w:val="18"/>
          <w:szCs w:val="18"/>
          <w:b w:val="1"/>
          <w:bCs w:val="1"/>
          <w:color w:val="auto"/>
        </w:rPr>
      </w:pPr>
    </w:p>
    <w:p>
      <w:pPr>
        <w:ind w:firstLine="1031"/>
        <w:spacing w:after="0" w:line="282" w:lineRule="auto"/>
        <w:tabs>
          <w:tab w:leader="none" w:pos="1287"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53" w:lineRule="exact"/>
        <w:rPr>
          <w:rFonts w:ascii="Times New Roman" w:cs="Times New Roman" w:eastAsia="Times New Roman" w:hAnsi="Times New Roman"/>
          <w:sz w:val="18"/>
          <w:szCs w:val="18"/>
          <w:b w:val="1"/>
          <w:bCs w:val="1"/>
          <w:color w:val="auto"/>
        </w:rPr>
      </w:pPr>
    </w:p>
    <w:p>
      <w:pPr>
        <w:ind w:right="140" w:firstLine="1026"/>
        <w:spacing w:after="0" w:line="282" w:lineRule="auto"/>
        <w:tabs>
          <w:tab w:leader="none" w:pos="1263"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enter into the Company’s form of Early Exercise Stock Purchase Agreement with a vesting schedule that will result in the same vesting as if no early exercise had occurred; and</w:t>
      </w:r>
    </w:p>
    <w:p>
      <w:pPr>
        <w:spacing w:after="0" w:line="53" w:lineRule="exact"/>
        <w:rPr>
          <w:rFonts w:ascii="Times New Roman" w:cs="Times New Roman" w:eastAsia="Times New Roman" w:hAnsi="Times New Roman"/>
          <w:sz w:val="18"/>
          <w:szCs w:val="18"/>
          <w:b w:val="1"/>
          <w:bCs w:val="1"/>
          <w:color w:val="auto"/>
        </w:rPr>
      </w:pPr>
    </w:p>
    <w:p>
      <w:pPr>
        <w:ind w:right="140" w:firstLine="1026"/>
        <w:spacing w:after="0" w:line="261" w:lineRule="auto"/>
        <w:tabs>
          <w:tab w:leader="none" w:pos="1283"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spacing w:after="0" w:line="67" w:lineRule="exact"/>
        <w:rPr>
          <w:rFonts w:ascii="Times New Roman" w:cs="Times New Roman" w:eastAsia="Times New Roman" w:hAnsi="Times New Roman"/>
          <w:sz w:val="18"/>
          <w:szCs w:val="18"/>
          <w:b w:val="1"/>
          <w:bCs w:val="1"/>
          <w:color w:val="auto"/>
        </w:rPr>
      </w:pPr>
    </w:p>
    <w:p>
      <w:pPr>
        <w:ind w:right="80" w:firstLine="517"/>
        <w:spacing w:after="0" w:line="268" w:lineRule="auto"/>
        <w:tabs>
          <w:tab w:leader="none" w:pos="68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3"/>
          <w:szCs w:val="13"/>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must pay the full amount of the exercise price for the shares you wish to exercise. You may pay the exercise price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cash or by check, bank draft or money order payable to the Company or in any other manner </w:t>
      </w:r>
      <w:r>
        <w:rPr>
          <w:rFonts w:ascii="Times New Roman" w:cs="Times New Roman" w:eastAsia="Times New Roman" w:hAnsi="Times New Roman"/>
          <w:sz w:val="18"/>
          <w:szCs w:val="18"/>
          <w:b w:val="1"/>
          <w:bCs w:val="1"/>
          <w:i w:val="1"/>
          <w:iCs w:val="1"/>
          <w:color w:val="auto"/>
        </w:rPr>
        <w:t>permitted by your Grant Notice,</w:t>
      </w:r>
      <w:r>
        <w:rPr>
          <w:rFonts w:ascii="Times New Roman" w:cs="Times New Roman" w:eastAsia="Times New Roman" w:hAnsi="Times New Roman"/>
          <w:sz w:val="18"/>
          <w:szCs w:val="18"/>
          <w:color w:val="auto"/>
        </w:rPr>
        <w:t xml:space="preserve"> which may include one or more of the following:</w:t>
      </w:r>
    </w:p>
    <w:p>
      <w:pPr>
        <w:spacing w:after="0" w:line="66" w:lineRule="exact"/>
        <w:rPr>
          <w:rFonts w:ascii="Times New Roman" w:cs="Times New Roman" w:eastAsia="Times New Roman" w:hAnsi="Times New Roman"/>
          <w:sz w:val="18"/>
          <w:szCs w:val="18"/>
          <w:b w:val="1"/>
          <w:bCs w:val="1"/>
          <w:color w:val="auto"/>
        </w:rPr>
      </w:pPr>
    </w:p>
    <w:p>
      <w:pPr>
        <w:ind w:right="140" w:firstLine="1026"/>
        <w:spacing w:after="0" w:line="261" w:lineRule="auto"/>
        <w:tabs>
          <w:tab w:leader="none" w:pos="1273"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line="86" w:lineRule="exact"/>
        <w:rPr>
          <w:sz w:val="20"/>
          <w:szCs w:val="20"/>
          <w:color w:val="auto"/>
        </w:rPr>
      </w:pPr>
    </w:p>
    <w:p>
      <w:pPr>
        <w:ind w:right="180" w:firstLine="1026"/>
        <w:spacing w:after="0" w:line="256" w:lineRule="auto"/>
        <w:tabs>
          <w:tab w:leader="none" w:pos="1283" w:val="left"/>
        </w:tabs>
        <w:numPr>
          <w:ilvl w:val="2"/>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79" w:lineRule="exact"/>
        <w:rPr>
          <w:rFonts w:ascii="Times New Roman" w:cs="Times New Roman" w:eastAsia="Times New Roman" w:hAnsi="Times New Roman"/>
          <w:sz w:val="18"/>
          <w:szCs w:val="18"/>
          <w:b w:val="1"/>
          <w:bCs w:val="1"/>
          <w:color w:val="auto"/>
        </w:rPr>
      </w:pPr>
    </w:p>
    <w:p>
      <w:pPr>
        <w:ind w:firstLine="1026"/>
        <w:spacing w:after="0" w:line="256" w:lineRule="auto"/>
        <w:tabs>
          <w:tab w:leader="none" w:pos="1263" w:val="left"/>
        </w:tabs>
        <w:numPr>
          <w:ilvl w:val="2"/>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75"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HOLE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exercise your option only for whole shares of Common Stock.</w:t>
      </w:r>
    </w:p>
    <w:p>
      <w:pPr>
        <w:spacing w:after="0" w:line="117" w:lineRule="exact"/>
        <w:rPr>
          <w:rFonts w:ascii="Times New Roman" w:cs="Times New Roman" w:eastAsia="Times New Roman" w:hAnsi="Times New Roman"/>
          <w:sz w:val="18"/>
          <w:szCs w:val="18"/>
          <w:b w:val="1"/>
          <w:bCs w:val="1"/>
          <w:color w:val="auto"/>
        </w:rPr>
      </w:pPr>
    </w:p>
    <w:p>
      <w:pPr>
        <w:ind w:right="80" w:firstLine="517"/>
        <w:spacing w:after="0" w:line="259" w:lineRule="auto"/>
        <w:tabs>
          <w:tab w:leader="none" w:pos="689"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ECURITIES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 event may you exercise your option unless the shares of Common Stock issuable upon exercise are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71" w:lineRule="exact"/>
        <w:rPr>
          <w:rFonts w:ascii="Times New Roman" w:cs="Times New Roman" w:eastAsia="Times New Roman" w:hAnsi="Times New Roman"/>
          <w:sz w:val="18"/>
          <w:szCs w:val="18"/>
          <w:b w:val="1"/>
          <w:bCs w:val="1"/>
          <w:color w:val="auto"/>
        </w:rPr>
      </w:pPr>
    </w:p>
    <w:p>
      <w:pPr>
        <w:ind w:right="260" w:firstLine="517"/>
        <w:spacing w:after="0" w:line="286" w:lineRule="auto"/>
        <w:tabs>
          <w:tab w:leader="none" w:pos="689"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Date of Grant or after the expiration of the option’s term. The term of your option expires,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5(h) of the Plan, upon the earliest of the following:</w:t>
      </w:r>
    </w:p>
    <w:p>
      <w:pPr>
        <w:spacing w:after="0" w:line="50" w:lineRule="exact"/>
        <w:rPr>
          <w:rFonts w:ascii="Times New Roman" w:cs="Times New Roman" w:eastAsia="Times New Roman" w:hAnsi="Times New Roman"/>
          <w:sz w:val="18"/>
          <w:szCs w:val="18"/>
          <w:b w:val="1"/>
          <w:bCs w:val="1"/>
          <w:color w:val="auto"/>
        </w:rPr>
      </w:pPr>
    </w:p>
    <w:p>
      <w:pPr>
        <w:ind w:left="1280" w:hanging="254"/>
        <w:spacing w:after="0"/>
        <w:tabs>
          <w:tab w:leader="none" w:pos="1280" w:val="left"/>
        </w:tabs>
        <w:numPr>
          <w:ilvl w:val="2"/>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17" w:lineRule="exact"/>
        <w:rPr>
          <w:rFonts w:ascii="Times New Roman" w:cs="Times New Roman" w:eastAsia="Times New Roman" w:hAnsi="Times New Roman"/>
          <w:sz w:val="18"/>
          <w:szCs w:val="18"/>
          <w:b w:val="1"/>
          <w:bCs w:val="1"/>
          <w:color w:val="auto"/>
        </w:rPr>
      </w:pPr>
    </w:p>
    <w:p>
      <w:pPr>
        <w:ind w:right="20" w:firstLine="1026"/>
        <w:spacing w:after="0" w:line="253" w:lineRule="auto"/>
        <w:tabs>
          <w:tab w:leader="none" w:pos="1283" w:val="left"/>
        </w:tabs>
        <w:numPr>
          <w:ilvl w:val="2"/>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three (3) months after the termination of your Continuous Service for any reason other than Cause, your Disability or your death (except as otherwise provided in Section 8(d)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(i) you are a Non-Exempt Employee, (ii) your Continuous Service terminates within six (6) months after the Date of Grant, and (iii)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vested in a portion of your option at the time of your termination of Continuous Service, your option will not expire until the earlier of (x) the later of</w:t>
      </w:r>
    </w:p>
    <w:p>
      <w:pPr>
        <w:spacing w:after="0" w:line="5"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seven (7) months after the Date of Grant, and (B) the date that is three (3) months after the termination of your Continuous Service, and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Expiration Date;</w:t>
      </w:r>
    </w:p>
    <w:p>
      <w:pPr>
        <w:spacing w:after="0" w:line="98"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after the termination of your Continuous Service due to your Disability (except as otherwise provided in Section 8(d))</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below;</w:t>
      </w:r>
    </w:p>
    <w:p>
      <w:pPr>
        <w:spacing w:after="0" w:line="98" w:lineRule="exact"/>
        <w:rPr>
          <w:rFonts w:ascii="Times New Roman" w:cs="Times New Roman" w:eastAsia="Times New Roman" w:hAnsi="Times New Roman"/>
          <w:sz w:val="18"/>
          <w:szCs w:val="18"/>
          <w:b w:val="1"/>
          <w:bCs w:val="1"/>
          <w:color w:val="auto"/>
        </w:rPr>
      </w:pPr>
    </w:p>
    <w:p>
      <w:pPr>
        <w:ind w:right="140" w:firstLine="1026"/>
        <w:spacing w:after="0" w:line="282" w:lineRule="auto"/>
        <w:tabs>
          <w:tab w:leader="none" w:pos="1283"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eighteen (18) months after your death if you die either during your Continuous Service or within three (3) months after your Continuous Service terminates for any reason other than Cause;</w:t>
      </w:r>
    </w:p>
    <w:p>
      <w:pPr>
        <w:spacing w:after="0" w:line="53" w:lineRule="exact"/>
        <w:rPr>
          <w:rFonts w:ascii="Times New Roman" w:cs="Times New Roman" w:eastAsia="Times New Roman" w:hAnsi="Times New Roman"/>
          <w:sz w:val="18"/>
          <w:szCs w:val="18"/>
          <w:b w:val="1"/>
          <w:bCs w:val="1"/>
          <w:color w:val="auto"/>
        </w:rPr>
      </w:pPr>
    </w:p>
    <w:p>
      <w:pPr>
        <w:ind w:left="1280" w:hanging="254"/>
        <w:spacing w:after="0"/>
        <w:tabs>
          <w:tab w:leader="none" w:pos="1280"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117" w:lineRule="exact"/>
        <w:rPr>
          <w:rFonts w:ascii="Times New Roman" w:cs="Times New Roman" w:eastAsia="Times New Roman" w:hAnsi="Times New Roman"/>
          <w:sz w:val="18"/>
          <w:szCs w:val="18"/>
          <w:b w:val="1"/>
          <w:bCs w:val="1"/>
          <w:color w:val="auto"/>
        </w:rPr>
      </w:pPr>
    </w:p>
    <w:p>
      <w:pPr>
        <w:ind w:left="1260" w:hanging="234"/>
        <w:spacing w:after="0"/>
        <w:tabs>
          <w:tab w:leader="none" w:pos="1260"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tenth (10th) anniversary of the Date of Grant.</w:t>
      </w:r>
    </w:p>
    <w:p>
      <w:pPr>
        <w:spacing w:after="0" w:line="25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64" w:lineRule="exact"/>
        <w:rPr>
          <w:sz w:val="20"/>
          <w:szCs w:val="20"/>
          <w:color w:val="auto"/>
        </w:rPr>
      </w:pPr>
    </w:p>
    <w:p>
      <w:pPr>
        <w:ind w:left="700" w:hanging="183"/>
        <w:spacing w:after="0"/>
        <w:tabs>
          <w:tab w:leader="none" w:pos="7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firstLine="1026"/>
        <w:spacing w:after="0" w:line="261" w:lineRule="auto"/>
        <w:tabs>
          <w:tab w:leader="none" w:pos="1273"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71" w:lineRule="exact"/>
        <w:rPr>
          <w:rFonts w:ascii="Times New Roman" w:cs="Times New Roman" w:eastAsia="Times New Roman" w:hAnsi="Times New Roman"/>
          <w:sz w:val="18"/>
          <w:szCs w:val="18"/>
          <w:b w:val="1"/>
          <w:bCs w:val="1"/>
          <w:color w:val="auto"/>
        </w:rPr>
      </w:pPr>
    </w:p>
    <w:p>
      <w:pPr>
        <w:ind w:right="240" w:firstLine="1026"/>
        <w:spacing w:after="0" w:line="261" w:lineRule="auto"/>
        <w:tabs>
          <w:tab w:leader="none" w:pos="1283"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71" w:lineRule="exact"/>
        <w:rPr>
          <w:rFonts w:ascii="Times New Roman" w:cs="Times New Roman" w:eastAsia="Times New Roman" w:hAnsi="Times New Roman"/>
          <w:sz w:val="18"/>
          <w:szCs w:val="18"/>
          <w:b w:val="1"/>
          <w:bCs w:val="1"/>
          <w:color w:val="auto"/>
        </w:rPr>
      </w:pPr>
    </w:p>
    <w:p>
      <w:pPr>
        <w:ind w:right="120" w:firstLine="1026"/>
        <w:spacing w:after="0" w:line="266" w:lineRule="auto"/>
        <w:tabs>
          <w:tab w:leader="none" w:pos="1263"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spacing w:after="0" w:line="67" w:lineRule="exact"/>
        <w:rPr>
          <w:rFonts w:ascii="Times New Roman" w:cs="Times New Roman" w:eastAsia="Times New Roman" w:hAnsi="Times New Roman"/>
          <w:sz w:val="18"/>
          <w:szCs w:val="18"/>
          <w:b w:val="1"/>
          <w:bCs w:val="1"/>
          <w:color w:val="auto"/>
        </w:rPr>
      </w:pPr>
    </w:p>
    <w:p>
      <w:pPr>
        <w:ind w:firstLine="1026"/>
        <w:spacing w:after="0" w:line="253" w:lineRule="auto"/>
        <w:tabs>
          <w:tab w:leader="none" w:pos="1283"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p>
    <w:p>
      <w:pPr>
        <w:spacing w:after="0" w:line="79"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this Section 10, your option is not transferable, except by will or by the laws of descent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and is exercisable during your life only by you.</w:t>
      </w:r>
    </w:p>
    <w:p>
      <w:pPr>
        <w:spacing w:after="0" w:line="95" w:lineRule="exact"/>
        <w:rPr>
          <w:sz w:val="20"/>
          <w:szCs w:val="20"/>
          <w:color w:val="auto"/>
        </w:rPr>
      </w:pPr>
    </w:p>
    <w:p>
      <w:pPr>
        <w:ind w:right="200" w:firstLine="1026"/>
        <w:spacing w:after="0" w:line="268" w:lineRule="auto"/>
        <w:tabs>
          <w:tab w:leader="none" w:pos="1273"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Trusts. </w:t>
      </w:r>
      <w:r>
        <w:rPr>
          <w:rFonts w:ascii="Times New Roman" w:cs="Times New Roman" w:eastAsia="Times New Roman" w:hAnsi="Times New Roman"/>
          <w:sz w:val="18"/>
          <w:szCs w:val="18"/>
          <w:color w:val="auto"/>
        </w:rPr>
        <w:t>Upon receiving written permission from the Board or its duly authorized designee, you may transfer your option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62" w:lineRule="exact"/>
        <w:rPr>
          <w:rFonts w:ascii="Times New Roman" w:cs="Times New Roman" w:eastAsia="Times New Roman" w:hAnsi="Times New Roman"/>
          <w:sz w:val="18"/>
          <w:szCs w:val="18"/>
          <w:b w:val="1"/>
          <w:bCs w:val="1"/>
          <w:color w:val="auto"/>
        </w:rPr>
      </w:pPr>
    </w:p>
    <w:p>
      <w:pPr>
        <w:ind w:right="80" w:firstLine="1026"/>
        <w:spacing w:after="0" w:line="256" w:lineRule="auto"/>
        <w:tabs>
          <w:tab w:leader="none" w:pos="1283"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74" w:lineRule="exact"/>
        <w:rPr>
          <w:rFonts w:ascii="Times New Roman" w:cs="Times New Roman" w:eastAsia="Times New Roman" w:hAnsi="Times New Roman"/>
          <w:sz w:val="18"/>
          <w:szCs w:val="18"/>
          <w:b w:val="1"/>
          <w:bCs w:val="1"/>
          <w:color w:val="auto"/>
        </w:rPr>
      </w:pPr>
    </w:p>
    <w:p>
      <w:pPr>
        <w:ind w:right="380" w:firstLine="1026"/>
        <w:spacing w:after="0" w:line="286" w:lineRule="auto"/>
        <w:tabs>
          <w:tab w:leader="none" w:pos="1263"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Upon receiving written permission from the Board or its duly authorized designee, you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approved by the Company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68" w:lineRule="exact"/>
        <w:rPr>
          <w:sz w:val="20"/>
          <w:szCs w:val="20"/>
          <w:color w:val="auto"/>
        </w:rPr>
      </w:pPr>
    </w:p>
    <w:p>
      <w:pPr>
        <w:ind w:right="120" w:firstLine="517"/>
        <w:spacing w:after="0" w:line="262" w:lineRule="auto"/>
        <w:tabs>
          <w:tab w:leader="none" w:pos="77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3"/>
          <w:szCs w:val="13"/>
          <w:b w:val="1"/>
          <w:bCs w:val="1"/>
          <w:color w:val="auto"/>
        </w:rPr>
        <w:t>IGHT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3"/>
          <w:szCs w:val="13"/>
          <w:b w:val="1"/>
          <w:bCs w:val="1"/>
          <w:color w:val="auto"/>
        </w:rPr>
        <w:t>IRST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you acquire upon exercise of your option are subject to any right of first refusal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described in the Company’s bylaws in effect at such time the Company elects to exercise its right. The Company’s right of first refusal will expire on the first date upon which any security of the Company is listed (or approved for listing) upon notice of issuance on a national securities exchange or quotation system.</w:t>
      </w:r>
    </w:p>
    <w:p>
      <w:pPr>
        <w:spacing w:after="0" w:line="68" w:lineRule="exact"/>
        <w:rPr>
          <w:rFonts w:ascii="Times New Roman" w:cs="Times New Roman" w:eastAsia="Times New Roman" w:hAnsi="Times New Roman"/>
          <w:sz w:val="18"/>
          <w:szCs w:val="18"/>
          <w:b w:val="1"/>
          <w:bCs w:val="1"/>
          <w:color w:val="auto"/>
        </w:rPr>
      </w:pPr>
    </w:p>
    <w:p>
      <w:pPr>
        <w:ind w:right="360" w:firstLine="517"/>
        <w:spacing w:after="0" w:line="286" w:lineRule="auto"/>
        <w:tabs>
          <w:tab w:leader="none" w:pos="77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3"/>
          <w:szCs w:val="13"/>
          <w:b w:val="1"/>
          <w:bCs w:val="1"/>
          <w:color w:val="auto"/>
        </w:rPr>
        <w:t>IGHT OF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provided in the Company’s bylaws in effect at such time the Company elects to exercise its right,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have the right to repurchase all or any part of the shares of Common Stock you acquire pursuant to the exercise of your option.</w:t>
      </w:r>
    </w:p>
    <w:p>
      <w:pPr>
        <w:spacing w:after="0" w:line="46" w:lineRule="exact"/>
        <w:rPr>
          <w:rFonts w:ascii="Times New Roman" w:cs="Times New Roman" w:eastAsia="Times New Roman" w:hAnsi="Times New Roman"/>
          <w:sz w:val="18"/>
          <w:szCs w:val="18"/>
          <w:b w:val="1"/>
          <w:bCs w:val="1"/>
          <w:color w:val="auto"/>
        </w:rPr>
      </w:pPr>
    </w:p>
    <w:p>
      <w:pPr>
        <w:ind w:right="40" w:firstLine="517"/>
        <w:spacing w:after="0" w:line="262" w:lineRule="auto"/>
        <w:tabs>
          <w:tab w:leader="none" w:pos="77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 NOT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not an employment or service contract, and nothing in your option will be deemed to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68"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right="160" w:firstLine="1026"/>
        <w:spacing w:after="0" w:line="258" w:lineRule="auto"/>
        <w:tabs>
          <w:tab w:leader="none" w:pos="1273"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75" w:lineRule="exact"/>
        <w:rPr>
          <w:rFonts w:ascii="Times New Roman" w:cs="Times New Roman" w:eastAsia="Times New Roman" w:hAnsi="Times New Roman"/>
          <w:sz w:val="18"/>
          <w:szCs w:val="18"/>
          <w:b w:val="1"/>
          <w:bCs w:val="1"/>
          <w:color w:val="auto"/>
        </w:rPr>
      </w:pPr>
    </w:p>
    <w:p>
      <w:pPr>
        <w:ind w:right="20" w:firstLine="1026"/>
        <w:spacing w:after="0" w:line="253" w:lineRule="auto"/>
        <w:tabs>
          <w:tab w:leader="none" w:pos="1283"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 (b)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83" w:lineRule="exact"/>
        <w:rPr>
          <w:rFonts w:ascii="Times New Roman" w:cs="Times New Roman" w:eastAsia="Times New Roman" w:hAnsi="Times New Roman"/>
          <w:sz w:val="18"/>
          <w:szCs w:val="18"/>
          <w:b w:val="1"/>
          <w:bCs w:val="1"/>
          <w:color w:val="auto"/>
        </w:rPr>
      </w:pPr>
    </w:p>
    <w:p>
      <w:pPr>
        <w:ind w:right="20" w:firstLine="1026"/>
        <w:spacing w:after="0" w:line="261" w:lineRule="auto"/>
        <w:tabs>
          <w:tab w:leader="none" w:pos="1263"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67" w:lineRule="exact"/>
        <w:rPr>
          <w:rFonts w:ascii="Times New Roman" w:cs="Times New Roman" w:eastAsia="Times New Roman" w:hAnsi="Times New Roman"/>
          <w:sz w:val="18"/>
          <w:szCs w:val="18"/>
          <w:b w:val="1"/>
          <w:bCs w:val="1"/>
          <w:color w:val="auto"/>
        </w:rPr>
      </w:pPr>
    </w:p>
    <w:p>
      <w:pPr>
        <w:ind w:firstLine="517"/>
        <w:spacing w:after="0" w:line="257" w:lineRule="auto"/>
        <w:tabs>
          <w:tab w:leader="none" w:pos="77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ONSEQUENCES</w:t>
      </w:r>
      <w:r>
        <w:rPr>
          <w:rFonts w:ascii="Times New Roman" w:cs="Times New Roman" w:eastAsia="Times New Roman" w:hAnsi="Times New Roman"/>
          <w:sz w:val="18"/>
          <w:szCs w:val="18"/>
          <w:color w:val="auto"/>
        </w:rPr>
        <w:t>. You hereby agree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68" w:lineRule="exact"/>
        <w:rPr>
          <w:sz w:val="20"/>
          <w:szCs w:val="20"/>
          <w:color w:val="auto"/>
        </w:rPr>
      </w:pPr>
    </w:p>
    <w:p>
      <w:pPr>
        <w:ind w:firstLine="517"/>
        <w:spacing w:after="0" w:line="257" w:lineRule="auto"/>
        <w:tabs>
          <w:tab w:leader="none" w:pos="779"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notices provided for in your option or the Plan will be given in writing (including electronically) and will be deemed effectively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74" w:lineRule="exact"/>
        <w:rPr>
          <w:rFonts w:ascii="Times New Roman" w:cs="Times New Roman" w:eastAsia="Times New Roman" w:hAnsi="Times New Roman"/>
          <w:sz w:val="18"/>
          <w:szCs w:val="18"/>
          <w:b w:val="1"/>
          <w:bCs w:val="1"/>
          <w:color w:val="auto"/>
        </w:rPr>
      </w:pPr>
    </w:p>
    <w:p>
      <w:pPr>
        <w:ind w:right="120" w:firstLine="517"/>
        <w:spacing w:after="0" w:line="268" w:lineRule="auto"/>
        <w:tabs>
          <w:tab w:leader="none" w:pos="779"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the provisions of which are hereby made a part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1043940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18"/>
          <w:szCs w:val="18"/>
          <w:b w:val="1"/>
          <w:bCs w:val="1"/>
          <w:color w:val="auto"/>
        </w:rPr>
        <w:t xml:space="preserve"> 2014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Kura Oncology,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4930 Directors Place, Suite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0" w:lineRule="exact"/>
        <w:rPr>
          <w:sz w:val="20"/>
          <w:szCs w:val="20"/>
          <w:color w:val="auto"/>
        </w:rPr>
      </w:pPr>
    </w:p>
    <w:p>
      <w:pPr>
        <w:spacing w:after="0" w:line="250"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17145</wp:posOffset>
            </wp:positionV>
            <wp:extent cx="779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This constitutes notice to Kura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my stock option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for the price set forth below.</w:t>
      </w:r>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284"/>
        </w:trPr>
        <w:tc>
          <w:tcPr>
            <w:tcW w:w="4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Type of option (check one):</w:t>
            </w:r>
          </w:p>
        </w:tc>
        <w:tc>
          <w:tcPr>
            <w:tcW w:w="2700" w:type="dxa"/>
            <w:vAlign w:val="bottom"/>
            <w:gridSpan w:val="2"/>
          </w:tcPr>
          <w:p>
            <w:pPr>
              <w:ind w:left="1060"/>
              <w:spacing w:after="0" w:line="207" w:lineRule="exact"/>
              <w:rPr>
                <w:sz w:val="20"/>
                <w:szCs w:val="20"/>
                <w:color w:val="auto"/>
              </w:rPr>
            </w:pPr>
            <w:r>
              <w:rPr>
                <w:rFonts w:ascii="Times New Roman" w:cs="Times New Roman" w:eastAsia="Times New Roman" w:hAnsi="Times New Roman"/>
                <w:sz w:val="18"/>
                <w:szCs w:val="18"/>
                <w:color w:val="auto"/>
              </w:rPr>
              <w:t>Incentive</w:t>
            </w:r>
            <w:r>
              <w:rPr>
                <w:rFonts w:ascii="MS PGothic" w:cs="MS PGothic" w:eastAsia="MS PGothic" w:hAnsi="MS PGothic"/>
                <w:sz w:val="18"/>
                <w:szCs w:val="18"/>
                <w:color w:val="auto"/>
                <w:highlight w:val="black"/>
              </w:rPr>
              <w:t>☐</w:t>
            </w:r>
          </w:p>
        </w:tc>
        <w:tc>
          <w:tcPr>
            <w:tcW w:w="2140" w:type="dxa"/>
            <w:vAlign w:val="bottom"/>
            <w:gridSpan w:val="2"/>
          </w:tcPr>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Nonstatutory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Stock option dated:</w:t>
            </w:r>
          </w:p>
        </w:tc>
        <w:tc>
          <w:tcPr>
            <w:tcW w:w="3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tc>
        <w:tc>
          <w:tcPr>
            <w:tcW w:w="10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gridSpan w:val="5"/>
            <w:vMerge w:val="continue"/>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Certificates to be issued in name of:</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tcBorders>
          </w:tcPr>
          <w:p>
            <w:pPr>
              <w:spacing w:after="0"/>
              <w:rPr>
                <w:sz w:val="2"/>
                <w:szCs w:val="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gridSpan w:val="5"/>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1060" w:type="dxa"/>
            <w:vAlign w:val="bottom"/>
            <w:vMerge w:val="continue"/>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5"/>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60" w:type="dxa"/>
            <w:vAlign w:val="bottom"/>
            <w:vMerge w:val="continue"/>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payment delivered herewith:</w:t>
            </w:r>
          </w:p>
        </w:tc>
        <w:tc>
          <w:tcPr>
            <w:tcW w:w="10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tcBorders>
          </w:tcPr>
          <w:p>
            <w:pPr>
              <w:spacing w:after="0"/>
              <w:rPr>
                <w:sz w:val="20"/>
                <w:szCs w:val="20"/>
                <w:color w:val="auto"/>
              </w:rPr>
            </w:pPr>
          </w:p>
        </w:tc>
        <w:tc>
          <w:tcPr>
            <w:tcW w:w="4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Value of</w:t>
            </w: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28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Shares delivered herewith</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Value of</w:t>
            </w:r>
          </w:p>
        </w:tc>
        <w:tc>
          <w:tcPr>
            <w:tcW w:w="760" w:type="dxa"/>
            <w:vAlign w:val="bottom"/>
            <w:gridSpan w:val="3"/>
            <w:vMerge w:val="restart"/>
          </w:tcPr>
          <w:p>
            <w:pPr>
              <w:spacing w:after="0" w:line="20" w:lineRule="exact"/>
              <w:rPr>
                <w:sz w:val="1"/>
                <w:szCs w:val="1"/>
                <w:color w:val="auto"/>
              </w:rPr>
            </w:pPr>
          </w:p>
        </w:tc>
        <w:tc>
          <w:tcPr>
            <w:tcW w:w="3280" w:type="dxa"/>
            <w:vAlign w:val="bottom"/>
            <w:vMerge w:val="restart"/>
          </w:tcPr>
          <w:p>
            <w:pPr>
              <w:spacing w:after="0" w:line="203" w:lineRule="exact"/>
              <w:rPr>
                <w:sz w:val="20"/>
                <w:szCs w:val="20"/>
                <w:color w:val="auto"/>
              </w:rPr>
            </w:pPr>
            <w:r>
              <w:rPr>
                <w:rFonts w:ascii="Times New Roman" w:cs="Times New Roman" w:eastAsia="Times New Roman" w:hAnsi="Times New Roman"/>
                <w:sz w:val="17"/>
                <w:szCs w:val="17"/>
                <w:color w:val="auto"/>
              </w:rPr>
              <w:t>Shares pursuant to net exercise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w:t>
            </w:r>
          </w:p>
        </w:tc>
        <w:tc>
          <w:tcPr>
            <w:tcW w:w="10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22"/>
                <w:szCs w:val="22"/>
                <w:color w:val="auto"/>
              </w:rPr>
              <w:t>$</w:t>
            </w: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60" w:type="dxa"/>
            <w:vAlign w:val="bottom"/>
            <w:vMerge w:val="continue"/>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Regulation T Program (cashless exercise</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40" w:type="dxa"/>
            <w:vAlign w:val="bottom"/>
            <w:tcBorders>
              <w:bottom w:val="single" w:sz="8" w:color="auto"/>
            </w:tcBorders>
          </w:tcPr>
          <w:p>
            <w:pPr>
              <w:spacing w:after="0"/>
              <w:rPr>
                <w:sz w:val="4"/>
                <w:szCs w:val="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700" w:type="dxa"/>
            <w:vAlign w:val="bottom"/>
            <w:gridSpan w:val="5"/>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460" w:type="dxa"/>
            <w:vAlign w:val="bottom"/>
            <w:vMerge w:val="continue"/>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right="160" w:firstLine="8"/>
        <w:spacing w:after="0" w:line="231" w:lineRule="auto"/>
        <w:tabs>
          <w:tab w:leader="none" w:pos="195"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Shares must meet the public trading requirements set forth in the option.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spacing w:after="0" w:line="2" w:lineRule="exact"/>
        <w:rPr>
          <w:sz w:val="20"/>
          <w:szCs w:val="20"/>
          <w:color w:val="auto"/>
        </w:rPr>
      </w:pPr>
    </w:p>
    <w:p>
      <w:pPr>
        <w:ind w:firstLine="8"/>
        <w:spacing w:after="0" w:line="221" w:lineRule="auto"/>
        <w:tabs>
          <w:tab w:leader="none" w:pos="195" w:val="left"/>
        </w:tabs>
        <w:numPr>
          <w:ilvl w:val="0"/>
          <w:numId w:val="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option must be a Nonstatutory Stock Option, and Kura Oncology, Inc. must have established net exercise procedures at the time of exercise, in order to utilize this payment method.</w:t>
      </w:r>
    </w:p>
    <w:p>
      <w:pPr>
        <w:ind w:left="200" w:hanging="192"/>
        <w:spacing w:after="0" w:line="200" w:lineRule="auto"/>
        <w:tabs>
          <w:tab w:leader="none" w:pos="200" w:val="left"/>
        </w:tabs>
        <w:numPr>
          <w:ilvl w:val="0"/>
          <w:numId w:val="7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Shares must meet the public trading requirements set forth in the option.</w:t>
      </w:r>
    </w:p>
    <w:p>
      <w:pPr>
        <w:spacing w:after="0" w:line="26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Amended and Restated 2014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21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 hereby make the following certifications and representations with respect to the number of Shares listed above, which are being acquired by me for my own account upon exercise of the option as set forth above:</w:t>
      </w:r>
    </w:p>
    <w:p>
      <w:pPr>
        <w:spacing w:after="0" w:line="185"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color w:val="auto"/>
        </w:rPr>
        <w:t>I acknowledge that the Shares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20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 further acknowledge that I will not be able to resell the Shares for at least ninety (90) days after the stock of the Company becomes publicly traded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7" w:name="page38"/>
    <w:bookmarkEnd w:id="37"/>
    <w:p>
      <w:pPr>
        <w:spacing w:after="0" w:line="2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Articles of Incorporation, Bylaws and/or applicable securities laws.</w:t>
      </w:r>
    </w:p>
    <w:p>
      <w:pPr>
        <w:spacing w:after="0" w:line="20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2711 or NYSE Member Rule 472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4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325755</wp:posOffset>
            </wp:positionV>
            <wp:extent cx="24174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18"/>
          <w:szCs w:val="18"/>
          <w:b w:val="1"/>
          <w:bCs w:val="1"/>
          <w:color w:val="auto"/>
        </w:rPr>
        <w:t xml:space="preserve"> 2014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Kura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Amended and Restated 2014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in this notice but defined in the Plan or the Option Agreement will have the same definitions as in the Plan or the Option Agreement. If there is any conflict between the terms herein and the Plan, the terms of the Plan will control.</w:t>
      </w:r>
    </w:p>
    <w:p>
      <w:pPr>
        <w:spacing w:after="0" w:line="1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Optionholder:</w:t>
      </w:r>
    </w:p>
    <w:p>
      <w:pPr>
        <w:spacing w:after="0" w:line="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-127635</wp:posOffset>
            </wp:positionV>
            <wp:extent cx="29914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-127635</wp:posOffset>
            </wp:positionV>
            <wp:extent cx="29914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-127635</wp:posOffset>
            </wp:positionV>
            <wp:extent cx="29914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-127635</wp:posOffset>
            </wp:positionV>
            <wp:extent cx="29914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-127635</wp:posOffset>
            </wp:positionV>
            <wp:extent cx="29914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34290</wp:posOffset>
            </wp:positionV>
            <wp:extent cx="2991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314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Incentive Stock Option</w:t>
            </w:r>
            <w:r>
              <w:rPr>
                <w:rFonts w:ascii="Times New Roman" w:cs="Times New Roman" w:eastAsia="Times New Roman" w:hAnsi="Times New Roman"/>
                <w:sz w:val="9"/>
                <w:szCs w:val="9"/>
                <w:color w:val="auto"/>
              </w:rPr>
              <w:t>1</w:t>
            </w:r>
          </w:p>
        </w:tc>
        <w:tc>
          <w:tcPr>
            <w:tcW w:w="586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Nonstatutory Stock Option</w:t>
            </w:r>
          </w:p>
        </w:tc>
        <w:tc>
          <w:tcPr>
            <w:tcW w:w="0" w:type="dxa"/>
            <w:vAlign w:val="bottom"/>
          </w:tcPr>
          <w:p>
            <w:pPr>
              <w:spacing w:after="0"/>
              <w:rPr>
                <w:sz w:val="1"/>
                <w:szCs w:val="1"/>
                <w:color w:val="auto"/>
              </w:rPr>
            </w:pPr>
          </w:p>
        </w:tc>
      </w:tr>
      <w:tr>
        <w:trPr>
          <w:trHeight w:val="253"/>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Schedule:</w:t>
            </w:r>
          </w:p>
        </w:tc>
        <w:tc>
          <w:tcPr>
            <w:tcW w:w="314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Same as Vesting Schedule</w:t>
            </w:r>
          </w:p>
        </w:tc>
        <w:tc>
          <w:tcPr>
            <w:tcW w:w="586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Early Exercise Permitted</w:t>
            </w: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9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Please refer to your online records available on E*TRADE or any successor system maintained by the Company for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9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specific vesting dates. Subject to any acceleration provisions contained in the Plan or in a separate agreement with the</w:t>
            </w:r>
          </w:p>
        </w:tc>
        <w:tc>
          <w:tcPr>
            <w:tcW w:w="0" w:type="dxa"/>
            <w:vAlign w:val="bottom"/>
          </w:tcPr>
          <w:p>
            <w:pPr>
              <w:spacing w:after="0"/>
              <w:rPr>
                <w:sz w:val="1"/>
                <w:szCs w:val="1"/>
                <w:color w:val="auto"/>
              </w:rPr>
            </w:pPr>
          </w:p>
        </w:tc>
      </w:tr>
      <w:tr>
        <w:trPr>
          <w:trHeight w:val="216"/>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3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Company.</w:t>
            </w:r>
          </w:p>
        </w:tc>
        <w:tc>
          <w:tcPr>
            <w:tcW w:w="5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80" w:type="dxa"/>
            <w:vAlign w:val="bottom"/>
            <w:vMerge w:val="continue"/>
          </w:tcPr>
          <w:p>
            <w:pPr>
              <w:spacing w:after="0"/>
              <w:rPr>
                <w:sz w:val="19"/>
                <w:szCs w:val="19"/>
                <w:color w:val="auto"/>
              </w:rPr>
            </w:pPr>
          </w:p>
        </w:tc>
        <w:tc>
          <w:tcPr>
            <w:tcW w:w="9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By one or a combination of the following items (described in the Option Agreement):</w:t>
            </w:r>
          </w:p>
        </w:tc>
        <w:tc>
          <w:tcPr>
            <w:tcW w:w="0" w:type="dxa"/>
            <w:vAlign w:val="bottom"/>
          </w:tcPr>
          <w:p>
            <w:pPr>
              <w:spacing w:after="0"/>
              <w:rPr>
                <w:sz w:val="1"/>
                <w:szCs w:val="1"/>
                <w:color w:val="auto"/>
              </w:rPr>
            </w:pPr>
          </w:p>
        </w:tc>
      </w:tr>
    </w:tbl>
    <w:p>
      <w:pPr>
        <w:ind w:left="2700" w:hanging="208"/>
        <w:spacing w:after="0"/>
        <w:tabs>
          <w:tab w:leader="none" w:pos="2700" w:val="left"/>
        </w:tabs>
        <w:numPr>
          <w:ilvl w:val="1"/>
          <w:numId w:val="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cash, check, bank draft or money order payable to the Company</w:t>
      </w:r>
    </w:p>
    <w:p>
      <w:pPr>
        <w:spacing w:after="0" w:line="42" w:lineRule="exact"/>
        <w:rPr>
          <w:rFonts w:ascii="MS PGothic" w:cs="MS PGothic" w:eastAsia="MS PGothic" w:hAnsi="MS PGothic"/>
          <w:sz w:val="18"/>
          <w:szCs w:val="18"/>
          <w:color w:val="auto"/>
        </w:rPr>
      </w:pPr>
    </w:p>
    <w:p>
      <w:pPr>
        <w:jc w:val="both"/>
        <w:ind w:left="2500" w:right="3480" w:hanging="8"/>
        <w:spacing w:after="0" w:line="243" w:lineRule="exact"/>
        <w:tabs>
          <w:tab w:leader="none" w:pos="2712" w:val="left"/>
        </w:tabs>
        <w:numPr>
          <w:ilvl w:val="1"/>
          <w:numId w:val="7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Pursuant to a Regulation T Program if the shares are publicly traded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By delivery of already-owned shares if the shares are publicly traded</w:t>
      </w:r>
    </w:p>
    <w:p>
      <w:pPr>
        <w:ind w:left="2500" w:hanging="8"/>
        <w:spacing w:after="0" w:line="259" w:lineRule="auto"/>
        <w:tabs>
          <w:tab w:leader="none" w:pos="2712" w:val="left"/>
        </w:tabs>
        <w:numPr>
          <w:ilvl w:val="1"/>
          <w:numId w:val="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and only to the extent this option is a Nonstatutory Stock Option, and subject to the Company’s consent at the time of exercise, by a “net exercise” arrangement</w:t>
      </w:r>
    </w:p>
    <w:p>
      <w:pPr>
        <w:spacing w:after="0" w:line="200" w:lineRule="exact"/>
        <w:rPr>
          <w:rFonts w:ascii="MS PGothic" w:cs="MS PGothic" w:eastAsia="MS PGothic" w:hAnsi="MS PGothic"/>
          <w:sz w:val="18"/>
          <w:szCs w:val="18"/>
          <w:color w:val="auto"/>
        </w:rPr>
      </w:pPr>
    </w:p>
    <w:p>
      <w:pPr>
        <w:spacing w:after="0" w:line="209" w:lineRule="exact"/>
        <w:rPr>
          <w:rFonts w:ascii="MS PGothic" w:cs="MS PGothic" w:eastAsia="MS PGothic" w:hAnsi="MS PGothic"/>
          <w:sz w:val="18"/>
          <w:szCs w:val="18"/>
          <w:color w:val="auto"/>
        </w:rPr>
      </w:pPr>
    </w:p>
    <w:p>
      <w:pPr>
        <w:ind w:left="1020" w:hanging="499"/>
        <w:spacing w:after="0" w:line="200" w:lineRule="auto"/>
        <w:tabs>
          <w:tab w:leader="none" w:pos="1020" w:val="left"/>
        </w:tabs>
        <w:numPr>
          <w:ilvl w:val="0"/>
          <w:numId w:val="7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If this is an Incentive Stock Option, it (plus other outstanding Incentive Stock Options) cannot be first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39" w:name="page40"/>
    <w:bookmarkEnd w:id="39"/>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Optionholder acknowledges receipt of, and understands and agrees to, this Stock Option Grant Notice,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(ii) any compensation recovery policy that is adopted by the Company or is otherwise required by applicable law and (iii) any written employment or severance arrangement that would provide for vesting acceleration of this option upon the terms and conditions set forth therein.</w:t>
      </w:r>
    </w:p>
    <w:p>
      <w:pPr>
        <w:spacing w:after="0" w:line="21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158" w:lineRule="exact"/>
        <w:rPr>
          <w:sz w:val="20"/>
          <w:szCs w:val="20"/>
          <w:color w:val="auto"/>
        </w:rPr>
      </w:pPr>
    </w:p>
    <w:p>
      <w:pPr>
        <w:ind w:left="1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ura</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ncology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ptionholder</w:t>
      </w:r>
      <w:r>
        <w:rPr>
          <w:rFonts w:ascii="Times New Roman" w:cs="Times New Roman" w:eastAsia="Times New Roman" w:hAnsi="Times New Roman"/>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080" w:type="dxa"/>
            <w:vAlign w:val="bottom"/>
            <w:tcBorders>
              <w:top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Signature</w:t>
            </w:r>
          </w:p>
        </w:tc>
        <w:tc>
          <w:tcPr>
            <w:tcW w:w="1520" w:type="dxa"/>
            <w:vAlign w:val="bottom"/>
          </w:tcPr>
          <w:p>
            <w:pPr>
              <w:spacing w:after="0"/>
              <w:rPr>
                <w:sz w:val="20"/>
                <w:szCs w:val="20"/>
                <w:color w:val="auto"/>
              </w:rPr>
            </w:pPr>
          </w:p>
        </w:tc>
        <w:tc>
          <w:tcPr>
            <w:tcW w:w="460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Signature</w:t>
            </w:r>
          </w:p>
        </w:tc>
      </w:tr>
      <w:tr>
        <w:trPr>
          <w:trHeight w:val="46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520" w:type="dxa"/>
            <w:vAlign w:val="bottom"/>
          </w:tcPr>
          <w:p>
            <w:pPr>
              <w:spacing w:after="0"/>
              <w:rPr>
                <w:sz w:val="24"/>
                <w:szCs w:val="24"/>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-127635</wp:posOffset>
            </wp:positionV>
            <wp:extent cx="2588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8889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-127635</wp:posOffset>
            </wp:positionV>
            <wp:extent cx="13633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-127635</wp:posOffset>
            </wp:positionV>
            <wp:extent cx="2588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34290</wp:posOffset>
            </wp:positionV>
            <wp:extent cx="2588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Option Agreement, Amended and Restated 2014 Equity Incentive Plan, Notice of Exercise and Prospectus for Amended and Restated 2014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K</w:t>
      </w:r>
      <w:r>
        <w:rPr>
          <w:rFonts w:ascii="Times New Roman" w:cs="Times New Roman" w:eastAsia="Times New Roman" w:hAnsi="Times New Roman"/>
          <w:sz w:val="17"/>
          <w:szCs w:val="17"/>
          <w:b w:val="1"/>
          <w:bCs w:val="1"/>
          <w:color w:val="auto"/>
        </w:rPr>
        <w:t>ura</w:t>
      </w:r>
      <w:r>
        <w:rPr>
          <w:rFonts w:ascii="Times New Roman" w:cs="Times New Roman" w:eastAsia="Times New Roman" w:hAnsi="Times New Roman"/>
          <w:sz w:val="25"/>
          <w:szCs w:val="25"/>
          <w:b w:val="1"/>
          <w:bCs w:val="1"/>
          <w:color w:val="auto"/>
        </w:rPr>
        <w:t xml:space="preserve"> O</w:t>
      </w:r>
      <w:r>
        <w:rPr>
          <w:rFonts w:ascii="Times New Roman" w:cs="Times New Roman" w:eastAsia="Times New Roman" w:hAnsi="Times New Roman"/>
          <w:sz w:val="17"/>
          <w:szCs w:val="17"/>
          <w:b w:val="1"/>
          <w:bCs w:val="1"/>
          <w:color w:val="auto"/>
        </w:rPr>
        <w:t>ncology</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mended and</w:t>
      </w:r>
      <w:r>
        <w:rPr>
          <w:rFonts w:ascii="Times New Roman" w:cs="Times New Roman" w:eastAsia="Times New Roman" w:hAnsi="Times New Roman"/>
          <w:sz w:val="25"/>
          <w:szCs w:val="25"/>
          <w:b w:val="1"/>
          <w:bCs w:val="1"/>
          <w:color w:val="auto"/>
        </w:rPr>
        <w:t xml:space="preserve"> R</w:t>
      </w:r>
      <w:r>
        <w:rPr>
          <w:rFonts w:ascii="Times New Roman" w:cs="Times New Roman" w:eastAsia="Times New Roman" w:hAnsi="Times New Roman"/>
          <w:sz w:val="17"/>
          <w:szCs w:val="17"/>
          <w:b w:val="1"/>
          <w:bCs w:val="1"/>
          <w:color w:val="auto"/>
        </w:rPr>
        <w:t>estated</w:t>
      </w:r>
      <w:r>
        <w:rPr>
          <w:rFonts w:ascii="Times New Roman" w:cs="Times New Roman" w:eastAsia="Times New Roman" w:hAnsi="Times New Roman"/>
          <w:sz w:val="25"/>
          <w:szCs w:val="25"/>
          <w:b w:val="1"/>
          <w:bCs w:val="1"/>
          <w:color w:val="auto"/>
        </w:rPr>
        <w:t xml:space="preserve"> 2015 E</w:t>
      </w:r>
      <w:r>
        <w:rPr>
          <w:rFonts w:ascii="Times New Roman" w:cs="Times New Roman" w:eastAsia="Times New Roman" w:hAnsi="Times New Roman"/>
          <w:sz w:val="17"/>
          <w:szCs w:val="17"/>
          <w:b w:val="1"/>
          <w:bCs w:val="1"/>
          <w:color w:val="auto"/>
        </w:rPr>
        <w:t>mployee</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tock</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urchase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DOPTED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7"/>
          <w:szCs w:val="17"/>
          <w:b w:val="1"/>
          <w:bCs w:val="1"/>
          <w:color w:val="auto"/>
        </w:rPr>
        <w:t>OARD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7"/>
          <w:szCs w:val="17"/>
          <w:b w:val="1"/>
          <w:bCs w:val="1"/>
          <w:color w:val="auto"/>
        </w:rPr>
        <w:t>IRECTORS</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7"/>
          <w:szCs w:val="17"/>
          <w:b w:val="1"/>
          <w:bCs w:val="1"/>
          <w:color w:val="auto"/>
        </w:rPr>
        <w:t>ARCH</w:t>
      </w:r>
      <w:r>
        <w:rPr>
          <w:rFonts w:ascii="Times New Roman" w:cs="Times New Roman" w:eastAsia="Times New Roman" w:hAnsi="Times New Roman"/>
          <w:sz w:val="22"/>
          <w:szCs w:val="22"/>
          <w:b w:val="1"/>
          <w:bCs w:val="1"/>
          <w:color w:val="auto"/>
        </w:rPr>
        <w:t xml:space="preserve"> 6, 2015 A</w:t>
      </w:r>
      <w:r>
        <w:rPr>
          <w:rFonts w:ascii="Times New Roman" w:cs="Times New Roman" w:eastAsia="Times New Roman" w:hAnsi="Times New Roman"/>
          <w:sz w:val="17"/>
          <w:szCs w:val="17"/>
          <w:b w:val="1"/>
          <w:bCs w:val="1"/>
          <w:color w:val="auto"/>
        </w:rPr>
        <w:t>PPROVED BY THE</w:t>
      </w:r>
    </w:p>
    <w:p>
      <w:pPr>
        <w:spacing w:after="0" w:line="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TOCKHOLDERS</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7"/>
          <w:szCs w:val="17"/>
          <w:b w:val="1"/>
          <w:bCs w:val="1"/>
          <w:color w:val="auto"/>
        </w:rPr>
        <w:t>ARCH</w:t>
      </w:r>
      <w:r>
        <w:rPr>
          <w:rFonts w:ascii="Times New Roman" w:cs="Times New Roman" w:eastAsia="Times New Roman" w:hAnsi="Times New Roman"/>
          <w:sz w:val="22"/>
          <w:szCs w:val="22"/>
          <w:b w:val="1"/>
          <w:bCs w:val="1"/>
          <w:color w:val="auto"/>
        </w:rPr>
        <w:t xml:space="preserve"> 6, 2015</w:t>
      </w:r>
    </w:p>
    <w:p>
      <w:pPr>
        <w:ind w:left="3300"/>
        <w:spacing w:after="0" w:line="230"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by the</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22"/>
          <w:szCs w:val="22"/>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22"/>
          <w:szCs w:val="22"/>
          <w:b w:val="1"/>
          <w:bCs w:val="1"/>
          <w:color w:val="auto"/>
        </w:rPr>
        <w:t xml:space="preserve"> 9, 2026</w:t>
      </w:r>
    </w:p>
    <w:p>
      <w:pPr>
        <w:spacing w:after="0" w:line="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22"/>
          <w:szCs w:val="22"/>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22"/>
          <w:szCs w:val="22"/>
          <w:b w:val="1"/>
          <w:bCs w:val="1"/>
          <w:color w:val="auto"/>
        </w:rPr>
        <w:t xml:space="preserve"> 4, 2026</w:t>
      </w:r>
    </w:p>
    <w:p>
      <w:pPr>
        <w:spacing w:after="0" w:line="219" w:lineRule="exact"/>
        <w:rPr>
          <w:sz w:val="20"/>
          <w:szCs w:val="20"/>
          <w:color w:val="auto"/>
        </w:rPr>
      </w:pPr>
    </w:p>
    <w:p>
      <w:pPr>
        <w:ind w:left="760" w:hanging="752"/>
        <w:spacing w:after="0"/>
        <w:tabs>
          <w:tab w:leader="none" w:pos="7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22"/>
          <w:szCs w:val="22"/>
          <w:b w:val="1"/>
          <w:bCs w:val="1"/>
          <w:color w:val="auto"/>
        </w:rPr>
        <w:t>; P</w:t>
      </w:r>
      <w:r>
        <w:rPr>
          <w:rFonts w:ascii="Times New Roman" w:cs="Times New Roman" w:eastAsia="Times New Roman" w:hAnsi="Times New Roman"/>
          <w:sz w:val="14"/>
          <w:szCs w:val="14"/>
          <w:b w:val="1"/>
          <w:bCs w:val="1"/>
          <w:color w:val="auto"/>
        </w:rPr>
        <w:t>urpose</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righ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The Plan provides a means by which Eligible Employees of the Company and certain designated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Corporations may be given an opportunity to purchase shares of Common Stock. The Plan permits the Company to grant a series of Purchase Rights to Eligible Employees under an Employee Stock Purchase Plan.</w:t>
      </w:r>
    </w:p>
    <w:p>
      <w:pPr>
        <w:spacing w:after="0" w:line="167" w:lineRule="exact"/>
        <w:rPr>
          <w:sz w:val="20"/>
          <w:szCs w:val="20"/>
          <w:color w:val="auto"/>
        </w:rPr>
      </w:pPr>
    </w:p>
    <w:p>
      <w:pPr>
        <w:jc w:val="both"/>
        <w:ind w:righ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The Company, by means of the Plan, seeks to retain the services of such Employees, to secure and retain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of new Employees and to provide incentives for such persons to exert maximum efforts for the success of the Company and its Related Corporations.</w:t>
      </w:r>
    </w:p>
    <w:p>
      <w:pPr>
        <w:spacing w:after="0" w:line="167" w:lineRule="exact"/>
        <w:rPr>
          <w:sz w:val="20"/>
          <w:szCs w:val="20"/>
          <w:color w:val="auto"/>
        </w:rPr>
      </w:pPr>
    </w:p>
    <w:p>
      <w:pPr>
        <w:ind w:left="760" w:hanging="752"/>
        <w:spacing w:after="0"/>
        <w:tabs>
          <w:tab w:leader="none" w:pos="7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righ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The Board will administer the Plan unless and until the Board delegates administration of the Plan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or Committees, as provided in Section 2(c).</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The Board will have the power, subject to, and within the limitations of, the express provisions of the Plan:</w:t>
      </w:r>
    </w:p>
    <w:p>
      <w:pPr>
        <w:spacing w:after="0" w:line="210" w:lineRule="exact"/>
        <w:rPr>
          <w:sz w:val="20"/>
          <w:szCs w:val="20"/>
          <w:color w:val="auto"/>
        </w:rPr>
      </w:pPr>
    </w:p>
    <w:p>
      <w:pPr>
        <w:ind w:right="380" w:firstLine="1505"/>
        <w:spacing w:after="0" w:line="258" w:lineRule="auto"/>
        <w:tabs>
          <w:tab w:leader="none" w:pos="201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determine how and when Purchase Rights will be granted and the provisions of each Offering (which need not be identical).</w:t>
      </w:r>
    </w:p>
    <w:p>
      <w:pPr>
        <w:spacing w:after="0" w:line="158" w:lineRule="exact"/>
        <w:rPr>
          <w:rFonts w:ascii="Times New Roman" w:cs="Times New Roman" w:eastAsia="Times New Roman" w:hAnsi="Times New Roman"/>
          <w:sz w:val="22"/>
          <w:szCs w:val="22"/>
          <w:b w:val="1"/>
          <w:bCs w:val="1"/>
          <w:color w:val="auto"/>
        </w:rPr>
      </w:pPr>
    </w:p>
    <w:p>
      <w:pPr>
        <w:ind w:left="2020" w:hanging="515"/>
        <w:spacing w:after="0"/>
        <w:tabs>
          <w:tab w:leader="none" w:pos="20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designate from time to time which Related Corporations of the Company will be eligible to</w:t>
      </w:r>
    </w:p>
    <w:p>
      <w:pPr>
        <w:spacing w:after="0" w:line="14"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participate in the Plan.</w:t>
      </w:r>
    </w:p>
    <w:p>
      <w:pPr>
        <w:spacing w:after="0" w:line="182" w:lineRule="exact"/>
        <w:rPr>
          <w:rFonts w:ascii="Times New Roman" w:cs="Times New Roman" w:eastAsia="Times New Roman" w:hAnsi="Times New Roman"/>
          <w:sz w:val="22"/>
          <w:szCs w:val="22"/>
          <w:b w:val="1"/>
          <w:bCs w:val="1"/>
          <w:color w:val="auto"/>
        </w:rPr>
      </w:pPr>
    </w:p>
    <w:p>
      <w:pPr>
        <w:jc w:val="both"/>
        <w:ind w:right="380" w:firstLine="1505"/>
        <w:spacing w:after="0" w:line="244" w:lineRule="auto"/>
        <w:tabs>
          <w:tab w:leader="none" w:pos="201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73" w:lineRule="exact"/>
        <w:rPr>
          <w:rFonts w:ascii="Times New Roman" w:cs="Times New Roman" w:eastAsia="Times New Roman" w:hAnsi="Times New Roman"/>
          <w:sz w:val="22"/>
          <w:szCs w:val="22"/>
          <w:b w:val="1"/>
          <w:bCs w:val="1"/>
          <w:color w:val="auto"/>
        </w:rPr>
      </w:pPr>
    </w:p>
    <w:p>
      <w:pPr>
        <w:ind w:left="2020" w:hanging="515"/>
        <w:spacing w:after="0"/>
        <w:tabs>
          <w:tab w:leader="none" w:pos="20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settle all controversies regarding the Plan and Purchase Rights granted under the Plan.</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suspend or terminate the Plan at any time as provided in Section 12.</w:t>
      </w:r>
    </w:p>
    <w:p>
      <w:pPr>
        <w:spacing w:after="0" w:line="206"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amend the Plan at any time as provided in Section 12.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both"/>
        <w:ind w:right="20" w:firstLine="1505"/>
        <w:spacing w:after="0" w:line="244" w:lineRule="auto"/>
        <w:tabs>
          <w:tab w:leader="none" w:pos="2018"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73"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18"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 adopt such procedures and sub-plans as are necessary or appropriate to permit participation in the Plan by Employees who are foreign nationals or employed outside the United States.</w:t>
      </w:r>
    </w:p>
    <w:p>
      <w:pPr>
        <w:spacing w:after="0" w:line="158" w:lineRule="exact"/>
        <w:rPr>
          <w:rFonts w:ascii="Times New Roman" w:cs="Times New Roman" w:eastAsia="Times New Roman" w:hAnsi="Times New Roman"/>
          <w:sz w:val="22"/>
          <w:szCs w:val="22"/>
          <w:b w:val="1"/>
          <w:bCs w:val="1"/>
          <w:color w:val="auto"/>
        </w:rPr>
      </w:pPr>
    </w:p>
    <w:p>
      <w:pPr>
        <w:jc w:val="both"/>
        <w:ind w:right="20" w:firstLine="757"/>
        <w:spacing w:after="0" w:line="234" w:lineRule="auto"/>
        <w:tabs>
          <w:tab w:leader="none" w:pos="1009"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79"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All determinations, interpretations and constructions made by the Board in good faith will not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by any person and will be final, binding and conclusive on all persons.</w:t>
      </w:r>
    </w:p>
    <w:p>
      <w:pPr>
        <w:spacing w:after="0" w:line="150" w:lineRule="exact"/>
        <w:rPr>
          <w:sz w:val="20"/>
          <w:szCs w:val="20"/>
          <w:color w:val="auto"/>
        </w:rPr>
      </w:pPr>
    </w:p>
    <w:p>
      <w:pPr>
        <w:ind w:left="760" w:hanging="752"/>
        <w:spacing w:after="0"/>
        <w:tabs>
          <w:tab w:leader="none" w:pos="7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hares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Subject to the provisions of Section 11(a) relating to Capitalization Adjustments, the maximum number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Common Stock that may be issued under the Plan will not exceed 3,404,425, which is the sum of (i) 25,000 shares of Common Stock initially reserved under the Plan, (ii) 879,425 shares of Common Stock that were added pursuant to the annual automatic share increases from January 1, 2016 through January 1, 2025, and (iii) an additional 2,500,000 shares of Common Stock that were approved by the Company’s stockholders at the 2026 Annual Meeting of Stockholders.</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If any Purchase Right granted under the Plan terminates without having been exercised in full,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not purchased under such Purchase Right will again become available for issuance under the Plan.</w:t>
      </w:r>
    </w:p>
    <w:p>
      <w:pPr>
        <w:spacing w:after="0" w:line="154" w:lineRule="exact"/>
        <w:rPr>
          <w:sz w:val="20"/>
          <w:szCs w:val="20"/>
          <w:color w:val="auto"/>
        </w:rPr>
      </w:pPr>
    </w:p>
    <w:p>
      <w:pPr>
        <w:ind w:right="20" w:firstLine="757"/>
        <w:spacing w:after="0" w:line="258" w:lineRule="auto"/>
        <w:tabs>
          <w:tab w:leader="none" w:pos="1009"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stock purchasable under the Plan will be shares of authorized but unissued or reacquired Common Stock, including shares repurchased by the Company on the open market.</w:t>
      </w: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95" w:right="699" w:bottom="1440" w:gutter="0" w:footer="0" w:header="0"/>
        </w:sectPr>
      </w:pPr>
    </w:p>
    <w:bookmarkStart w:id="42" w:name="page43"/>
    <w:bookmarkEnd w:id="42"/>
    <w:p>
      <w:pPr>
        <w:spacing w:after="0" w:line="208" w:lineRule="exact"/>
        <w:rPr>
          <w:sz w:val="20"/>
          <w:szCs w:val="20"/>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rant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4"/>
          <w:szCs w:val="14"/>
          <w:b w:val="1"/>
          <w:bCs w:val="1"/>
          <w:color w:val="auto"/>
        </w:rPr>
        <w:t>ffering</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The Board may from time to time grant or provide for the grant of Purchase Rights to Eligible Employees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Offering (consisting of one or more Purchase Periods) on an Offering Date or Offering Dates selected by the Board. Each Offering will be in such form and will contain such terms and conditions as the Board will deem appropriate, and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7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(b)</w:t>
      </w:r>
      <w:r>
        <w:rPr>
          <w:rFonts w:ascii="Times New Roman" w:cs="Times New Roman" w:eastAsia="Times New Roman" w:hAnsi="Times New Roman"/>
          <w:sz w:val="21"/>
          <w:szCs w:val="21"/>
          <w:color w:val="auto"/>
        </w:rPr>
        <w:t>If a Participant has more than one Purchase Right outstanding under the Plan, unless he or she otherwise indicates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67" w:lineRule="exact"/>
        <w:rPr>
          <w:sz w:val="20"/>
          <w:szCs w:val="20"/>
          <w:color w:val="auto"/>
        </w:rPr>
      </w:pPr>
    </w:p>
    <w:p>
      <w:pPr>
        <w:jc w:val="both"/>
        <w:ind w:firstLine="757"/>
        <w:spacing w:after="0" w:line="238" w:lineRule="auto"/>
        <w:tabs>
          <w:tab w:leader="none" w:pos="1009" w:val="left"/>
        </w:tabs>
        <w:numPr>
          <w:ilvl w:val="1"/>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86"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Purchase Rights may be granted only to Employees of the Company or, as the Board may designate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Section 2(b), to Employees of a Related Corporation. Except as provided in Section 5(b),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The Board may provide that each person who, during the course of an Offering, first becomes an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will, on a date or dates specified in the Offering which coincides with the day on which such person becomes an Eligible Employee or which occurs thereafter, receive a Purchase Right under that Offering, which Purchase Right will thereafter be deemed to</w:t>
      </w: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43" w:name="page44"/>
    <w:bookmarkEnd w:id="43"/>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be a part of that Offering. Such Purchase Right will have the same characteristics as any Purchase Rights originally granted under that Offering, as described herein, except that:</w:t>
      </w:r>
    </w:p>
    <w:p>
      <w:pPr>
        <w:spacing w:after="0" w:line="158" w:lineRule="exact"/>
        <w:rPr>
          <w:sz w:val="20"/>
          <w:szCs w:val="20"/>
          <w:color w:val="auto"/>
        </w:rPr>
      </w:pPr>
    </w:p>
    <w:p>
      <w:pPr>
        <w:ind w:firstLine="1505"/>
        <w:spacing w:after="0" w:line="258" w:lineRule="auto"/>
        <w:tabs>
          <w:tab w:leader="none" w:pos="2018"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date on which such Purchase Right is granted will be the “Offering Date” of such Purchase Right for all purposes, including determination of the exercise price of such Purchase Right;</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18"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period of the Offering with respect to such Purchase Right will begin on its Offering Date and end coincident with the end of such Offering; and</w:t>
      </w:r>
    </w:p>
    <w:p>
      <w:pPr>
        <w:spacing w:after="0" w:line="158" w:lineRule="exact"/>
        <w:rPr>
          <w:rFonts w:ascii="Times New Roman" w:cs="Times New Roman" w:eastAsia="Times New Roman" w:hAnsi="Times New Roman"/>
          <w:sz w:val="22"/>
          <w:szCs w:val="22"/>
          <w:b w:val="1"/>
          <w:bCs w:val="1"/>
          <w:color w:val="auto"/>
        </w:rPr>
      </w:pPr>
    </w:p>
    <w:p>
      <w:pPr>
        <w:ind w:firstLine="1505"/>
        <w:spacing w:after="0" w:line="258" w:lineRule="auto"/>
        <w:tabs>
          <w:tab w:leader="none" w:pos="2018" w:val="left"/>
        </w:tabs>
        <w:numPr>
          <w:ilvl w:val="1"/>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Board may provide that if such person first becomes an Eligible Employee within a specified period of time before the end of the Offering, he or she will not receive any Purchase Right under that Offering.</w:t>
      </w:r>
    </w:p>
    <w:p>
      <w:pPr>
        <w:spacing w:after="0" w:line="158" w:lineRule="exact"/>
        <w:rPr>
          <w:rFonts w:ascii="Times New Roman" w:cs="Times New Roman" w:eastAsia="Times New Roman" w:hAnsi="Times New Roman"/>
          <w:sz w:val="22"/>
          <w:szCs w:val="22"/>
          <w:b w:val="1"/>
          <w:bCs w:val="1"/>
          <w:color w:val="auto"/>
        </w:rPr>
      </w:pPr>
    </w:p>
    <w:p>
      <w:pPr>
        <w:jc w:val="both"/>
        <w:ind w:firstLine="757"/>
        <w:spacing w:after="0" w:line="251" w:lineRule="auto"/>
        <w:tabs>
          <w:tab w:leader="none" w:pos="1009"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6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As specified by Section 423(b)(8) of the Code, an Eligible Employee may be granted Purchase Rights only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Purchase Rights, together with any other rights granted under all Employee Stock Purchase Plans of the Company and any Related Corporations, do not permit such Eligible Employee’s rights to purchase stock of the Company or any Related Corporation to accrue at a rate which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79" w:lineRule="exact"/>
        <w:rPr>
          <w:sz w:val="20"/>
          <w:szCs w:val="20"/>
          <w:color w:val="auto"/>
        </w:rPr>
      </w:pPr>
    </w:p>
    <w:p>
      <w:pPr>
        <w:jc w:val="both"/>
        <w:ind w:firstLine="757"/>
        <w:spacing w:after="0" w:line="239" w:lineRule="auto"/>
        <w:tabs>
          <w:tab w:leader="none" w:pos="1009"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89"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On each Offering Date, each Eligible Employee, pursuant to an Offering made under the Plan, will be granted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The Board will establish one or more Purchase Dates during an Offering on which</w:t>
      </w: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44" w:name="page45"/>
    <w:bookmarkEnd w:id="44"/>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Purchase Rights granted for that Offering will be exercised and shares of Common Stock will be purchased in accordance with such Offering.</w:t>
      </w:r>
    </w:p>
    <w:p>
      <w:pPr>
        <w:spacing w:after="0" w:line="158" w:lineRule="exact"/>
        <w:rPr>
          <w:sz w:val="20"/>
          <w:szCs w:val="20"/>
          <w:color w:val="auto"/>
        </w:rPr>
      </w:pPr>
    </w:p>
    <w:p>
      <w:pPr>
        <w:jc w:val="both"/>
        <w:ind w:firstLine="757"/>
        <w:spacing w:after="0" w:line="238" w:lineRule="auto"/>
        <w:tabs>
          <w:tab w:leader="none" w:pos="1009" w:val="left"/>
        </w:tabs>
        <w:numPr>
          <w:ilvl w:val="1"/>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w:t>
      </w:r>
    </w:p>
    <w:p>
      <w:pPr>
        <w:jc w:val="both"/>
        <w:ind w:firstLine="8"/>
        <w:spacing w:after="0" w:line="233" w:lineRule="auto"/>
        <w:tabs>
          <w:tab w:leader="none" w:pos="3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75"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The purchase price of shares of Common Stock acquired pursuant to Purchase Rights will be not less than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lesser of:</w:t>
      </w:r>
    </w:p>
    <w:p>
      <w:pPr>
        <w:spacing w:after="0" w:line="154" w:lineRule="exact"/>
        <w:rPr>
          <w:sz w:val="20"/>
          <w:szCs w:val="20"/>
          <w:color w:val="auto"/>
        </w:rPr>
      </w:pPr>
    </w:p>
    <w:p>
      <w:pPr>
        <w:ind w:left="2020" w:hanging="515"/>
        <w:spacing w:after="0"/>
        <w:tabs>
          <w:tab w:leader="none" w:pos="20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equal to 85% of the Fair Market Value of the shares of Common Stock on the Offering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and</w:t>
      </w:r>
    </w:p>
    <w:p>
      <w:pPr>
        <w:spacing w:after="0" w:line="182" w:lineRule="exact"/>
        <w:rPr>
          <w:sz w:val="20"/>
          <w:szCs w:val="20"/>
          <w:color w:val="auto"/>
        </w:rPr>
      </w:pPr>
    </w:p>
    <w:p>
      <w:pPr>
        <w:ind w:right="120" w:firstLine="1505"/>
        <w:spacing w:after="0" w:line="258" w:lineRule="auto"/>
        <w:tabs>
          <w:tab w:leader="none" w:pos="2018" w:val="left"/>
        </w:tabs>
        <w:numPr>
          <w:ilvl w:val="1"/>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equal to 85% of the Fair Market Value of the shares of Common Stock on the trading day immediately prior to the applicable Purchase Date.</w:t>
      </w:r>
    </w:p>
    <w:p>
      <w:pPr>
        <w:spacing w:after="0" w:line="167"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22"/>
          <w:szCs w:val="22"/>
          <w:b w:val="1"/>
          <w:bCs w:val="1"/>
          <w:color w:val="auto"/>
        </w:rPr>
        <w:t>; W</w:t>
      </w:r>
      <w:r>
        <w:rPr>
          <w:rFonts w:ascii="Times New Roman" w:cs="Times New Roman" w:eastAsia="Times New Roman" w:hAnsi="Times New Roman"/>
          <w:sz w:val="14"/>
          <w:szCs w:val="14"/>
          <w:b w:val="1"/>
          <w:bCs w:val="1"/>
          <w:color w:val="auto"/>
        </w:rPr>
        <w:t>ithdrawal</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color w:val="auto"/>
        </w:rPr>
        <w:t>An Eligible Employee may elect to authorize payroll deductions as the means of making Contributions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making Contributions by payroll deductions, a Participant may make Contributions through the payment by cash or check prior to a Purchase Date.</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During an Offering, a Participant may cease making Contributions and withdraw from the Offering by delivering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Company a withdrawal form provided by the Company. The Company may impose a deadline before a Purchase Date for withdrawing. Upon such withdrawal, such Participant’s Purchase Right in that Offering will immediately terminate and the Company will distribute to such Participant all of his or her accumulated but unused Contributions and such Participant’s Purchase Right in that Offering shall thereupon terminate. A Participant’s withdrawal from that Offering will have no effect upon his or her eligibility to participate in any</w:t>
      </w: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45" w:name="page46"/>
    <w:bookmarkEnd w:id="45"/>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other Offerings under the Plan, but such Participant will be required to deliver a new enrollment form to participate in subsequent Offerings.</w:t>
      </w:r>
    </w:p>
    <w:p>
      <w:pPr>
        <w:spacing w:after="0" w:line="158" w:lineRule="exact"/>
        <w:rPr>
          <w:sz w:val="20"/>
          <w:szCs w:val="20"/>
          <w:color w:val="auto"/>
        </w:rPr>
      </w:pPr>
    </w:p>
    <w:p>
      <w:pPr>
        <w:jc w:val="both"/>
        <w:ind w:firstLine="757"/>
        <w:spacing w:after="0" w:line="239" w:lineRule="auto"/>
        <w:tabs>
          <w:tab w:leader="none" w:pos="1009"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all of his or her accumulated but unused Contributions.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During a Participant’s lifetime, Purchase Rights will be exercisable only by such Participant. Purchase Rights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transferable by a Participant, except by will, by the laws of descent and distribution, or, if permitted by the Company, by a beneficiary designation as described in Section 10.</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1"/>
          <w:szCs w:val="21"/>
          <w:color w:val="auto"/>
        </w:rPr>
        <w:t>Unless otherwise specified in the Offering, the Company will have no obligation to pay interest on Contributions.</w:t>
      </w:r>
    </w:p>
    <w:p>
      <w:pPr>
        <w:spacing w:after="0" w:line="231"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On each Purchase Date, each Participant’s accumulated Contributions will be applied to the purchase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If any amount of accumulated Contributions remains in a Participant’s account after the purchase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Offering, in which case such amount will be distributed to such Participant after the final Purchase Date, without interest. If the amount of Contributions remaining in a Participant’s account after the purchase of shares of Common Stock is at least equal to the amount required to purchase one whole share of Common Stock on the final Purchase Date of an Offering, then such remaining amount will not roll over to the next Offering and will instead be distributed in full to such Participant after the final Purchase Date of such Offering without interest.</w:t>
      </w:r>
    </w:p>
    <w:p>
      <w:pPr>
        <w:spacing w:after="0" w:line="178" w:lineRule="exact"/>
        <w:rPr>
          <w:sz w:val="20"/>
          <w:szCs w:val="20"/>
          <w:color w:val="auto"/>
        </w:rPr>
      </w:pPr>
    </w:p>
    <w:p>
      <w:pPr>
        <w:jc w:val="both"/>
        <w:ind w:firstLine="757"/>
        <w:spacing w:after="0" w:line="234" w:lineRule="auto"/>
        <w:tabs>
          <w:tab w:leader="none" w:pos="1009"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w:t>
      </w: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46" w:name="page47"/>
    <w:bookmarkEnd w:id="46"/>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unused Contributions will be distributed to the Participants without interest.</w:t>
      </w:r>
    </w:p>
    <w:p>
      <w:pPr>
        <w:spacing w:after="0" w:line="216" w:lineRule="exact"/>
        <w:rPr>
          <w:sz w:val="20"/>
          <w:szCs w:val="20"/>
          <w:color w:val="auto"/>
        </w:rPr>
      </w:pPr>
    </w:p>
    <w:p>
      <w:pPr>
        <w:ind w:left="760" w:hanging="752"/>
        <w:spacing w:after="0"/>
        <w:tabs>
          <w:tab w:leader="none" w:pos="7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47"/>
        <w:spacing w:after="0" w:line="236" w:lineRule="auto"/>
        <w:rPr>
          <w:sz w:val="20"/>
          <w:szCs w:val="20"/>
          <w:color w:val="auto"/>
        </w:rPr>
      </w:pPr>
      <w:r>
        <w:rPr>
          <w:rFonts w:ascii="Times New Roman" w:cs="Times New Roman" w:eastAsia="Times New Roman" w:hAnsi="Times New Roman"/>
          <w:sz w:val="22"/>
          <w:szCs w:val="22"/>
          <w:color w:val="auto"/>
        </w:rPr>
        <w:t>The Company will seek to obtain from each federal, state, foreign or other regulatory commission or agency having jurisdiction over the Plan such authority as may be required to grant Purchase Rights and issue and sell shares of Common Stock thereunder.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77" w:lineRule="exact"/>
        <w:rPr>
          <w:sz w:val="20"/>
          <w:szCs w:val="20"/>
          <w:color w:val="auto"/>
        </w:rPr>
      </w:pPr>
    </w:p>
    <w:p>
      <w:pPr>
        <w:ind w:left="760" w:hanging="752"/>
        <w:spacing w:after="0"/>
        <w:tabs>
          <w:tab w:leader="none" w:pos="7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esignation of</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eneficiary</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The Company may, but is not obligated to, permit a Participant to submit a form designating a beneficiary who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If a Participant dies, and in the absence of a valid beneficiary designation, the Company will deliver any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and/or Contributions to the executor or administrator of the estate of the Participant. If no executor or administrator has been appointed (to the knowledge of the Company), the Company, in its sole discretion, may deliver such shares of Common Stock and/or Contributions to the Participant’s spouse, dependents or relatives, or if no spouse, dependent or relative is known to the Company, then to such other person as the Company may designate.</w:t>
      </w:r>
    </w:p>
    <w:p>
      <w:pPr>
        <w:spacing w:after="0" w:line="190" w:lineRule="exact"/>
        <w:rPr>
          <w:sz w:val="20"/>
          <w:szCs w:val="20"/>
          <w:color w:val="auto"/>
        </w:rPr>
      </w:pPr>
    </w:p>
    <w:p>
      <w:pPr>
        <w:ind w:left="760" w:hanging="752"/>
        <w:spacing w:after="0"/>
        <w:tabs>
          <w:tab w:leader="none" w:pos="7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In the event of a Capitalization Adjustment, the Board will appropriately and proportionately adjust: (i)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class(es) and maximum number of securities subject to the Plan pursuant to Section 3(a), (ii) the class(es) and maximum number of securities by which the share</w:t>
      </w:r>
    </w:p>
    <w:p>
      <w:pPr>
        <w:spacing w:after="0" w:line="3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(b)</w:t>
      </w:r>
      <w:r>
        <w:rPr>
          <w:rFonts w:ascii="Times New Roman" w:cs="Times New Roman" w:eastAsia="Times New Roman" w:hAnsi="Times New Roman"/>
          <w:sz w:val="21"/>
          <w:szCs w:val="21"/>
          <w:color w:val="auto"/>
        </w:rPr>
        <w:t>In the event of a Corporate Transaction, then: (i) any surviving corporation or acquiring corporation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surviving or acquiring corporation’s parent company) may assume or continue outstanding Purchase Rights or may substitute similar rights (including a right to acquire the same consideration paid to the stockholders in the Corporate Transaction) for</w:t>
      </w: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47" w:name="page48"/>
    <w:bookmarkEnd w:id="47"/>
    <w:p>
      <w:pPr>
        <w:spacing w:after="0" w:line="10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171"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right="20" w:firstLine="749"/>
        <w:spacing w:after="0" w:line="248" w:lineRule="auto"/>
        <w:rPr>
          <w:sz w:val="20"/>
          <w:szCs w:val="20"/>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1"/>
          <w:szCs w:val="21"/>
          <w:color w:val="auto"/>
        </w:rPr>
        <w:t>The Board may amend the Plan at any time in any respect the Board deems necessary or advisable. However,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provided in Section 11(a) relating to Capitalization Adjustments, stockholder approval will be required for any amendment of the Plan for which stockholder approval is required by applicable law or listing requirements, including any amendment that either (i) materially increases the number of shares of Common Stock available for issuance under the Plan,</w:t>
      </w:r>
    </w:p>
    <w:p>
      <w:pPr>
        <w:spacing w:after="0" w:line="2" w:lineRule="exact"/>
        <w:rPr>
          <w:sz w:val="20"/>
          <w:szCs w:val="20"/>
          <w:color w:val="auto"/>
        </w:rPr>
      </w:pPr>
    </w:p>
    <w:p>
      <w:pPr>
        <w:jc w:val="both"/>
        <w:ind w:right="20" w:firstLine="8"/>
        <w:spacing w:after="0" w:line="233" w:lineRule="auto"/>
        <w:tabs>
          <w:tab w:leader="none" w:pos="33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expands the class of individuals eligible to become Participants and receive Purchase Rights, (iii) materially increases the benefits accruing to Participants under the Plan or materially reduces the price at which shares of Common Stock may be purchased under the Plan, (iv) materially extends the term of the Plan, or (v) expands the types of awards available for issuance under the Plan, but in each of (i) through (v) above only to the extent stockholder approval is required by applicable law or listing requirements.</w:t>
      </w:r>
    </w:p>
    <w:p>
      <w:pPr>
        <w:spacing w:after="0" w:line="175"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The Board may suspend or terminate the Plan at any time. No Purchase Rights may be granted under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while the Plan is suspended or after it is terminated.</w:t>
      </w:r>
    </w:p>
    <w:p>
      <w:pPr>
        <w:spacing w:after="0" w:line="154" w:lineRule="exact"/>
        <w:rPr>
          <w:sz w:val="20"/>
          <w:szCs w:val="20"/>
          <w:color w:val="auto"/>
        </w:rPr>
      </w:pPr>
    </w:p>
    <w:p>
      <w:pPr>
        <w:jc w:val="both"/>
        <w:ind w:right="20" w:firstLine="757"/>
        <w:spacing w:after="0" w:line="246" w:lineRule="auto"/>
        <w:tabs>
          <w:tab w:leader="none" w:pos="1009" w:val="left"/>
        </w:tabs>
        <w:numPr>
          <w:ilvl w:val="1"/>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w:t>
      </w:r>
    </w:p>
    <w:p>
      <w:pPr>
        <w:spacing w:after="0" w:line="171" w:lineRule="exact"/>
        <w:rPr>
          <w:rFonts w:ascii="Times New Roman" w:cs="Times New Roman" w:eastAsia="Times New Roman" w:hAnsi="Times New Roman"/>
          <w:sz w:val="21"/>
          <w:szCs w:val="21"/>
          <w:b w:val="1"/>
          <w:bCs w:val="1"/>
          <w:color w:val="auto"/>
        </w:rPr>
      </w:pPr>
    </w:p>
    <w:p>
      <w:pPr>
        <w:ind w:left="760" w:hanging="752"/>
        <w:spacing w:after="0"/>
        <w:tabs>
          <w:tab w:leader="none" w:pos="7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20" w:firstLine="747"/>
        <w:spacing w:after="0" w:line="241" w:lineRule="auto"/>
        <w:rPr>
          <w:sz w:val="20"/>
          <w:szCs w:val="20"/>
          <w:color w:val="auto"/>
        </w:rPr>
      </w:pPr>
      <w:r>
        <w:rPr>
          <w:rFonts w:ascii="Times New Roman" w:cs="Times New Roman" w:eastAsia="Times New Roman" w:hAnsi="Times New Roman"/>
          <w:sz w:val="22"/>
          <w:szCs w:val="22"/>
          <w:color w:val="auto"/>
        </w:rPr>
        <w:t>The Plan was approved by the Board in connection with the approval by the Board of an Agreement and Plan of Merger (the “</w:t>
      </w:r>
      <w:r>
        <w:rPr>
          <w:rFonts w:ascii="Times New Roman" w:cs="Times New Roman" w:eastAsia="Times New Roman" w:hAnsi="Times New Roman"/>
          <w:sz w:val="22"/>
          <w:szCs w:val="22"/>
          <w:b w:val="1"/>
          <w:bCs w:val="1"/>
          <w:i w:val="1"/>
          <w:iCs w:val="1"/>
          <w:color w:val="auto"/>
        </w:rPr>
        <w:t>Merger Agreement</w:t>
      </w:r>
      <w:r>
        <w:rPr>
          <w:rFonts w:ascii="Times New Roman" w:cs="Times New Roman" w:eastAsia="Times New Roman" w:hAnsi="Times New Roman"/>
          <w:sz w:val="22"/>
          <w:szCs w:val="22"/>
          <w:color w:val="auto"/>
        </w:rPr>
        <w:t>”) by and among Zeta Acquisition Corp.</w:t>
      </w:r>
    </w:p>
    <w:p>
      <w:pPr>
        <w:spacing w:after="0" w:line="2" w:lineRule="exact"/>
        <w:rPr>
          <w:sz w:val="20"/>
          <w:szCs w:val="20"/>
          <w:color w:val="auto"/>
        </w:rPr>
      </w:pPr>
    </w:p>
    <w:p>
      <w:pPr>
        <w:jc w:val="both"/>
        <w:ind w:firstLine="8"/>
        <w:spacing w:after="0" w:line="233" w:lineRule="auto"/>
        <w:tabs>
          <w:tab w:leader="none" w:pos="31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Kura Oncology, Inc., a Delaware corporation (“</w:t>
      </w:r>
      <w:r>
        <w:rPr>
          <w:rFonts w:ascii="Times New Roman" w:cs="Times New Roman" w:eastAsia="Times New Roman" w:hAnsi="Times New Roman"/>
          <w:sz w:val="22"/>
          <w:szCs w:val="22"/>
          <w:b w:val="1"/>
          <w:bCs w:val="1"/>
          <w:i w:val="1"/>
          <w:iCs w:val="1"/>
          <w:color w:val="auto"/>
        </w:rPr>
        <w:t>Kura</w:t>
      </w:r>
      <w:r>
        <w:rPr>
          <w:rFonts w:ascii="Times New Roman" w:cs="Times New Roman" w:eastAsia="Times New Roman" w:hAnsi="Times New Roman"/>
          <w:sz w:val="22"/>
          <w:szCs w:val="22"/>
          <w:color w:val="auto"/>
        </w:rPr>
        <w:t>”), and Kura Operations, Inc., a Delaware corporation and wholly-owned subsidiary of the Company (“</w:t>
      </w:r>
      <w:r>
        <w:rPr>
          <w:rFonts w:ascii="Times New Roman" w:cs="Times New Roman" w:eastAsia="Times New Roman" w:hAnsi="Times New Roman"/>
          <w:sz w:val="22"/>
          <w:szCs w:val="22"/>
          <w:b w:val="1"/>
          <w:bCs w:val="1"/>
          <w:i w:val="1"/>
          <w:iCs w:val="1"/>
          <w:color w:val="auto"/>
        </w:rPr>
        <w:t>Merger Sub</w:t>
      </w:r>
      <w:r>
        <w:rPr>
          <w:rFonts w:ascii="Times New Roman" w:cs="Times New Roman" w:eastAsia="Times New Roman" w:hAnsi="Times New Roman"/>
          <w:sz w:val="22"/>
          <w:szCs w:val="22"/>
          <w:color w:val="auto"/>
        </w:rPr>
        <w:t>”) pursuant to which Merger Sub merged with and into Kura, with Kura remaining as the surviving entity and a wholly-owned operating subsidiary of the Company (the “</w:t>
      </w:r>
      <w:r>
        <w:rPr>
          <w:rFonts w:ascii="Times New Roman" w:cs="Times New Roman" w:eastAsia="Times New Roman" w:hAnsi="Times New Roman"/>
          <w:sz w:val="22"/>
          <w:szCs w:val="22"/>
          <w:b w:val="1"/>
          <w:bCs w:val="1"/>
          <w:i w:val="1"/>
          <w:iCs w:val="1"/>
          <w:color w:val="auto"/>
        </w:rPr>
        <w:t>Merger</w:t>
      </w:r>
      <w:r>
        <w:rPr>
          <w:rFonts w:ascii="Times New Roman" w:cs="Times New Roman" w:eastAsia="Times New Roman" w:hAnsi="Times New Roman"/>
          <w:sz w:val="22"/>
          <w:szCs w:val="22"/>
          <w:color w:val="auto"/>
        </w:rPr>
        <w:t>”). Immediately following the Effective Time (as defined in the Merger Agreement), the Company changed its name from “Zeta Acquisition Corp. III” to “Kura Oncology, Inc.” The Plan became</w:t>
      </w: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22"/>
          <w:szCs w:val="22"/>
          <w:color w:val="auto"/>
        </w:rPr>
        <w:t>effective upon the date that was 20 days after the mailing of a Schedule 14C Information Statement to the stockholders of the Company.</w:t>
      </w:r>
    </w:p>
    <w:p>
      <w:pPr>
        <w:spacing w:after="0" w:line="158" w:lineRule="exact"/>
        <w:rPr>
          <w:sz w:val="20"/>
          <w:szCs w:val="20"/>
          <w:color w:val="auto"/>
        </w:rPr>
      </w:pPr>
    </w:p>
    <w:p>
      <w:pPr>
        <w:jc w:val="both"/>
        <w:ind w:firstLine="747"/>
        <w:spacing w:after="0" w:line="244" w:lineRule="auto"/>
        <w:rPr>
          <w:sz w:val="20"/>
          <w:szCs w:val="20"/>
          <w:color w:val="auto"/>
        </w:rPr>
      </w:pPr>
      <w:r>
        <w:rPr>
          <w:rFonts w:ascii="Times New Roman" w:cs="Times New Roman" w:eastAsia="Times New Roman" w:hAnsi="Times New Roman"/>
          <w:sz w:val="22"/>
          <w:szCs w:val="22"/>
          <w:color w:val="auto"/>
        </w:rPr>
        <w:t>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83" w:lineRule="exact"/>
        <w:rPr>
          <w:sz w:val="20"/>
          <w:szCs w:val="20"/>
          <w:color w:val="auto"/>
        </w:rPr>
      </w:pPr>
    </w:p>
    <w:p>
      <w:pPr>
        <w:ind w:left="760" w:hanging="752"/>
        <w:spacing w:after="0"/>
        <w:tabs>
          <w:tab w:leader="none" w:pos="76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Proceeds from the sale of shares of Common Stock pursuant to Purchase Rights will constitute general funds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A Participant will not be deemed to be the holder of, or to have any of the rights of a holder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subject to Purchase Rights unless and until the Participant’s shares of Common Stock acquired upon exercise of Purchase Rights are recorded in the books of the Company (or its transfer agent).</w:t>
      </w:r>
    </w:p>
    <w:p>
      <w:pPr>
        <w:spacing w:after="0" w:line="171" w:lineRule="exact"/>
        <w:rPr>
          <w:sz w:val="20"/>
          <w:szCs w:val="20"/>
          <w:color w:val="auto"/>
        </w:rPr>
      </w:pPr>
    </w:p>
    <w:p>
      <w:pPr>
        <w:jc w:val="both"/>
        <w:ind w:firstLine="757"/>
        <w:spacing w:after="0" w:line="239" w:lineRule="auto"/>
        <w:tabs>
          <w:tab w:leader="none" w:pos="1009"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7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The provisions of the Plan will be governed by the laws of the State of Delaware without resort to that state’s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conflicts of laws rules.</w:t>
      </w:r>
    </w:p>
    <w:p>
      <w:pPr>
        <w:spacing w:after="0" w:line="150" w:lineRule="exact"/>
        <w:rPr>
          <w:sz w:val="20"/>
          <w:szCs w:val="20"/>
          <w:color w:val="auto"/>
        </w:rPr>
      </w:pPr>
    </w:p>
    <w:p>
      <w:pPr>
        <w:ind w:left="760" w:hanging="752"/>
        <w:spacing w:after="0"/>
        <w:tabs>
          <w:tab w:leader="none" w:pos="7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used in the Plan, the following definitions will apply to the capitalized terms indicated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76" w:lineRule="exact"/>
        <w:rPr>
          <w:sz w:val="20"/>
          <w:szCs w:val="20"/>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Capitalization Adjustment</w:t>
      </w:r>
      <w:r>
        <w:rPr>
          <w:rFonts w:ascii="Times New Roman" w:cs="Times New Roman" w:eastAsia="Times New Roman" w:hAnsi="Times New Roman"/>
          <w:sz w:val="22"/>
          <w:szCs w:val="22"/>
          <w:color w:val="auto"/>
        </w:rPr>
        <w:t>” means any change that is made in, or other events that occur with respect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78" w:lineRule="exact"/>
        <w:rPr>
          <w:sz w:val="20"/>
          <w:szCs w:val="20"/>
          <w:color w:val="auto"/>
        </w:rPr>
      </w:pPr>
    </w:p>
    <w:p>
      <w:pPr>
        <w:ind w:firstLine="757"/>
        <w:spacing w:after="0" w:line="264" w:lineRule="auto"/>
        <w:tabs>
          <w:tab w:leader="none" w:pos="1009"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including any applicable regulations and guidance thereunder</w:t>
      </w:r>
      <w:r>
        <w:rPr>
          <w:rFonts w:ascii="Times New Roman" w:cs="Times New Roman" w:eastAsia="Times New Roman" w:hAnsi="Times New Roman"/>
          <w:sz w:val="22"/>
          <w:szCs w:val="22"/>
          <w:i w:val="1"/>
          <w:iCs w:val="1"/>
          <w:color w:val="auto"/>
        </w:rPr>
        <w: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a committee of one or more members of the Board to whom</w:t>
      </w:r>
    </w:p>
    <w:p>
      <w:pPr>
        <w:spacing w:after="0" w:line="200" w:lineRule="exact"/>
        <w:rPr>
          <w:sz w:val="20"/>
          <w:szCs w:val="20"/>
          <w:color w:val="auto"/>
        </w:rPr>
      </w:pPr>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27" w:right="719" w:bottom="1440" w:gutter="0" w:footer="0" w:header="0"/>
        </w:sectPr>
      </w:pPr>
    </w:p>
    <w:bookmarkStart w:id="49" w:name="page50"/>
    <w:bookmarkEnd w:id="49"/>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authority has been delegated by the Board in accordance with Section 2(c).</w:t>
      </w:r>
    </w:p>
    <w:p>
      <w:pPr>
        <w:spacing w:after="0" w:line="200" w:lineRule="exact"/>
        <w:rPr>
          <w:sz w:val="20"/>
          <w:szCs w:val="20"/>
          <w:color w:val="auto"/>
        </w:rPr>
      </w:pPr>
    </w:p>
    <w:p>
      <w:pPr>
        <w:ind w:left="1500" w:hanging="743"/>
        <w:spacing w:after="0"/>
        <w:tabs>
          <w:tab w:leader="none" w:pos="150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means the common stock of the Company, having 1 vote per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w:t>
      </w:r>
    </w:p>
    <w:p>
      <w:pPr>
        <w:spacing w:after="0" w:line="176" w:lineRule="exact"/>
        <w:rPr>
          <w:sz w:val="20"/>
          <w:szCs w:val="20"/>
          <w:color w:val="auto"/>
        </w:rPr>
      </w:pPr>
    </w:p>
    <w:p>
      <w:pPr>
        <w:ind w:left="1500" w:hanging="743"/>
        <w:spacing w:after="0"/>
        <w:tabs>
          <w:tab w:leader="none" w:pos="150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Kura Oncology, Inc., a Delaware corporation.</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“Contributions</w:t>
      </w:r>
      <w:r>
        <w:rPr>
          <w:rFonts w:ascii="Times New Roman" w:cs="Times New Roman" w:eastAsia="Times New Roman" w:hAnsi="Times New Roman"/>
          <w:sz w:val="22"/>
          <w:szCs w:val="22"/>
          <w:color w:val="auto"/>
        </w:rPr>
        <w:t>” means the payroll deductions and other additional payments</w:t>
      </w:r>
    </w:p>
    <w:p>
      <w:pPr>
        <w:spacing w:after="0" w:line="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63" w:lineRule="exact"/>
        <w:rPr>
          <w:sz w:val="20"/>
          <w:szCs w:val="20"/>
          <w:color w:val="auto"/>
        </w:rPr>
      </w:pPr>
    </w:p>
    <w:p>
      <w:pPr>
        <w:ind w:right="20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the consummation, in a single transaction or in a series of related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one or more of the following events:</w:t>
      </w:r>
    </w:p>
    <w:p>
      <w:pPr>
        <w:spacing w:after="0" w:line="151" w:lineRule="exact"/>
        <w:rPr>
          <w:sz w:val="20"/>
          <w:szCs w:val="20"/>
          <w:color w:val="auto"/>
        </w:rPr>
      </w:pPr>
    </w:p>
    <w:p>
      <w:pPr>
        <w:ind w:right="140" w:firstLine="1505"/>
        <w:spacing w:after="0" w:line="258" w:lineRule="auto"/>
        <w:tabs>
          <w:tab w:leader="none" w:pos="2018"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all or substantially all, as determined by the Board in its sole discretion, of the consolidated assets of the Company and its Subsidiaries;</w:t>
      </w:r>
    </w:p>
    <w:p>
      <w:pPr>
        <w:spacing w:after="0" w:line="158" w:lineRule="exact"/>
        <w:rPr>
          <w:rFonts w:ascii="Times New Roman" w:cs="Times New Roman" w:eastAsia="Times New Roman" w:hAnsi="Times New Roman"/>
          <w:sz w:val="22"/>
          <w:szCs w:val="22"/>
          <w:b w:val="1"/>
          <w:bCs w:val="1"/>
          <w:color w:val="auto"/>
        </w:rPr>
      </w:pPr>
    </w:p>
    <w:p>
      <w:pPr>
        <w:ind w:left="2260" w:hanging="755"/>
        <w:spacing w:after="0"/>
        <w:tabs>
          <w:tab w:leader="none" w:pos="22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sale or other disposition of at least 90% of the outstanding securities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w:t>
      </w:r>
    </w:p>
    <w:p>
      <w:pPr>
        <w:spacing w:after="0" w:line="182" w:lineRule="exact"/>
        <w:rPr>
          <w:sz w:val="20"/>
          <w:szCs w:val="20"/>
          <w:color w:val="auto"/>
        </w:rPr>
      </w:pPr>
    </w:p>
    <w:p>
      <w:pPr>
        <w:ind w:right="2880" w:firstLine="1505"/>
        <w:spacing w:after="0" w:line="258" w:lineRule="auto"/>
        <w:tabs>
          <w:tab w:leader="none" w:pos="2246"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not the surviving corporation; or</w:t>
      </w:r>
    </w:p>
    <w:p>
      <w:pPr>
        <w:spacing w:after="0" w:line="158" w:lineRule="exact"/>
        <w:rPr>
          <w:rFonts w:ascii="Times New Roman" w:cs="Times New Roman" w:eastAsia="Times New Roman" w:hAnsi="Times New Roman"/>
          <w:sz w:val="22"/>
          <w:szCs w:val="22"/>
          <w:b w:val="1"/>
          <w:bCs w:val="1"/>
          <w:color w:val="auto"/>
        </w:rPr>
      </w:pPr>
    </w:p>
    <w:p>
      <w:pPr>
        <w:jc w:val="both"/>
        <w:ind w:firstLine="1505"/>
        <w:spacing w:after="0" w:line="239" w:lineRule="auto"/>
        <w:tabs>
          <w:tab w:leader="none" w:pos="2018"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4"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means a member of the Board.</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line="247" w:lineRule="auto"/>
        <w:tabs>
          <w:tab w:leader="none" w:pos="1009"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Employee</w:t>
      </w:r>
      <w:r>
        <w:rPr>
          <w:rFonts w:ascii="Times New Roman" w:cs="Times New Roman" w:eastAsia="Times New Roman" w:hAnsi="Times New Roman"/>
          <w:sz w:val="22"/>
          <w:szCs w:val="22"/>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6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means any person, including an Officer or Director, who is “employed” for purposes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423(b)(4) of the Code by the Company or a Related Corporation. However, service solely as a Director, or payment of a fee for such services, will not cause a Director to be considered an “Employee” for purposes of the Plan.</w:t>
      </w:r>
    </w:p>
    <w:p>
      <w:pPr>
        <w:spacing w:after="0" w:line="164" w:lineRule="exact"/>
        <w:rPr>
          <w:sz w:val="20"/>
          <w:szCs w:val="20"/>
          <w:color w:val="auto"/>
        </w:rPr>
      </w:pPr>
    </w:p>
    <w:p>
      <w:pPr>
        <w:ind w:firstLine="757"/>
        <w:spacing w:after="0" w:line="264" w:lineRule="auto"/>
        <w:tabs>
          <w:tab w:leader="none" w:pos="1009"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means a plan that grants Purchase Rights intended to be options issued under an “employee stock purchase plan,” as that term is defined in Section 423(b) of the Code.</w:t>
      </w:r>
    </w:p>
    <w:p>
      <w:pPr>
        <w:spacing w:after="0" w:line="145"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thereunder.</w:t>
      </w:r>
    </w:p>
    <w:p>
      <w:pPr>
        <w:spacing w:after="0" w:line="3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50" w:name="page51"/>
    <w:bookmarkEnd w:id="50"/>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means, as of any date, the value of the Common Stock determined as follows:</w:t>
      </w:r>
    </w:p>
    <w:p>
      <w:pPr>
        <w:spacing w:after="0" w:line="212" w:lineRule="exact"/>
        <w:rPr>
          <w:sz w:val="20"/>
          <w:szCs w:val="20"/>
          <w:color w:val="auto"/>
        </w:rPr>
      </w:pPr>
    </w:p>
    <w:p>
      <w:pPr>
        <w:jc w:val="both"/>
        <w:ind w:right="20" w:firstLine="1505"/>
        <w:spacing w:after="0" w:line="236" w:lineRule="auto"/>
        <w:tabs>
          <w:tab w:leader="none" w:pos="2018"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the Common Stock is listed on any established stock exchange or traded on any established market, the Fair Market Value of a share of Common Stock will be the </w:t>
      </w:r>
      <w:r>
        <w:rPr>
          <w:rFonts w:ascii="Times New Roman" w:cs="Times New Roman" w:eastAsia="Times New Roman" w:hAnsi="Times New Roman"/>
          <w:sz w:val="22"/>
          <w:szCs w:val="22"/>
          <w:b w:val="1"/>
          <w:bCs w:val="1"/>
          <w:u w:val="single" w:color="auto"/>
          <w:color w:val="auto"/>
        </w:rPr>
        <w:t>closing sales price</w:t>
      </w:r>
      <w:r>
        <w:rPr>
          <w:rFonts w:ascii="Times New Roman" w:cs="Times New Roman" w:eastAsia="Times New Roman" w:hAnsi="Times New Roman"/>
          <w:sz w:val="22"/>
          <w:szCs w:val="22"/>
          <w:color w:val="auto"/>
        </w:rPr>
        <w:t xml:space="preserve"> for such stock as quoted on such exchange or market (or the exchange or market with the greatest volume of trading in the Common Stock) </w:t>
      </w:r>
      <w:r>
        <w:rPr>
          <w:rFonts w:ascii="Times New Roman" w:cs="Times New Roman" w:eastAsia="Times New Roman" w:hAnsi="Times New Roman"/>
          <w:sz w:val="22"/>
          <w:szCs w:val="22"/>
          <w:b w:val="1"/>
          <w:bCs w:val="1"/>
          <w:u w:val="single" w:color="auto"/>
          <w:color w:val="auto"/>
        </w:rPr>
        <w:t>on the 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determination</w:t>
      </w:r>
      <w:r>
        <w:rPr>
          <w:rFonts w:ascii="Times New Roman" w:cs="Times New Roman" w:eastAsia="Times New Roman" w:hAnsi="Times New Roman"/>
          <w:sz w:val="22"/>
          <w:szCs w:val="22"/>
          <w:color w:val="auto"/>
        </w:rPr>
        <w:t>, as reported in such source as the Board deems reliable. Unless otherwise provided by the Board, if there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closing sales price for the Common Stock on the date of determination, then the Fair Market Value will be the closing sales price on the last preceding date for which such quotation exists.</w:t>
      </w:r>
    </w:p>
    <w:p>
      <w:pPr>
        <w:spacing w:after="0" w:line="181" w:lineRule="exact"/>
        <w:rPr>
          <w:rFonts w:ascii="Times New Roman" w:cs="Times New Roman" w:eastAsia="Times New Roman" w:hAnsi="Times New Roman"/>
          <w:sz w:val="22"/>
          <w:szCs w:val="22"/>
          <w:b w:val="1"/>
          <w:bCs w:val="1"/>
          <w:color w:val="auto"/>
        </w:rPr>
      </w:pPr>
    </w:p>
    <w:p>
      <w:pPr>
        <w:ind w:right="20" w:firstLine="1505"/>
        <w:spacing w:after="0" w:line="258" w:lineRule="auto"/>
        <w:tabs>
          <w:tab w:leader="none" w:pos="2018"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absence of such markets for the Common Stock, the Fair Market Value will be determined by the Board in good faith in compliance with applicable laws and in a manner that complies with Sections 409A of the Code.</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Offering</w:t>
      </w:r>
      <w:r>
        <w:rPr>
          <w:rFonts w:ascii="Times New Roman" w:cs="Times New Roman" w:eastAsia="Times New Roman" w:hAnsi="Times New Roman"/>
          <w:sz w:val="22"/>
          <w:szCs w:val="22"/>
          <w:color w:val="auto"/>
        </w:rPr>
        <w:t>” means the grant to Eligible Employees of Purchase Rights, with the exercise of those Purchase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automatically occurring at the end of one or more Purchase Periods. The terms and conditions of an Offering will generally be set forth in the “</w:t>
      </w:r>
      <w:r>
        <w:rPr>
          <w:rFonts w:ascii="Times New Roman" w:cs="Times New Roman" w:eastAsia="Times New Roman" w:hAnsi="Times New Roman"/>
          <w:sz w:val="22"/>
          <w:szCs w:val="22"/>
          <w:b w:val="1"/>
          <w:bCs w:val="1"/>
          <w:i w:val="1"/>
          <w:iCs w:val="1"/>
          <w:color w:val="auto"/>
        </w:rPr>
        <w:t>Offering Document</w:t>
      </w:r>
      <w:r>
        <w:rPr>
          <w:rFonts w:ascii="Times New Roman" w:cs="Times New Roman" w:eastAsia="Times New Roman" w:hAnsi="Times New Roman"/>
          <w:sz w:val="22"/>
          <w:szCs w:val="22"/>
          <w:color w:val="auto"/>
        </w:rPr>
        <w:t>” approved by the Board for that Offering.</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Offering Date</w:t>
      </w:r>
      <w:r>
        <w:rPr>
          <w:rFonts w:ascii="Times New Roman" w:cs="Times New Roman" w:eastAsia="Times New Roman" w:hAnsi="Times New Roman"/>
          <w:sz w:val="22"/>
          <w:szCs w:val="22"/>
          <w:color w:val="auto"/>
        </w:rPr>
        <w:t>” means a date selected by the Board for an Offering to commence.</w:t>
      </w:r>
    </w:p>
    <w:p>
      <w:pPr>
        <w:spacing w:after="0" w:line="206" w:lineRule="exact"/>
        <w:rPr>
          <w:sz w:val="20"/>
          <w:szCs w:val="20"/>
          <w:color w:val="auto"/>
        </w:rPr>
      </w:pPr>
    </w:p>
    <w:p>
      <w:pPr>
        <w:ind w:right="20"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(q)</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a person who is an officer of the Company or a Related Corporation within the meaning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16 of the Exchange Act.</w:t>
      </w:r>
    </w:p>
    <w:p>
      <w:pPr>
        <w:spacing w:after="0" w:line="145" w:lineRule="exact"/>
        <w:rPr>
          <w:sz w:val="20"/>
          <w:szCs w:val="20"/>
          <w:color w:val="auto"/>
        </w:rPr>
      </w:pPr>
    </w:p>
    <w:p>
      <w:pPr>
        <w:ind w:left="1500" w:hanging="743"/>
        <w:spacing w:after="0"/>
        <w:tabs>
          <w:tab w:leader="none" w:pos="15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an Eligible Employee who holds an outstanding Purchase Right.</w:t>
      </w:r>
    </w:p>
    <w:p>
      <w:pPr>
        <w:spacing w:after="0" w:line="206"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Kura Oncology, Inc. Amended and Restated 2015 Employee Stock Purchase Plan.</w:t>
      </w:r>
    </w:p>
    <w:p>
      <w:pPr>
        <w:spacing w:after="0" w:line="200" w:lineRule="exact"/>
        <w:rPr>
          <w:sz w:val="20"/>
          <w:szCs w:val="20"/>
          <w:color w:val="auto"/>
        </w:rPr>
      </w:pPr>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51" w:name="page52"/>
    <w:bookmarkEnd w:id="51"/>
    <w:p>
      <w:pPr>
        <w:spacing w:after="0" w:line="98" w:lineRule="exact"/>
        <w:rPr>
          <w:sz w:val="20"/>
          <w:szCs w:val="20"/>
          <w:color w:val="auto"/>
        </w:rPr>
      </w:pPr>
    </w:p>
    <w:p>
      <w:pPr>
        <w:ind w:firstLine="757"/>
        <w:spacing w:after="0" w:line="288" w:lineRule="auto"/>
        <w:tabs>
          <w:tab w:leader="none" w:pos="1009" w:val="left"/>
        </w:tabs>
        <w:numPr>
          <w:ilvl w:val="0"/>
          <w:numId w:val="1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 Date</w:t>
      </w:r>
      <w:r>
        <w:rPr>
          <w:rFonts w:ascii="Times New Roman" w:cs="Times New Roman" w:eastAsia="Times New Roman" w:hAnsi="Times New Roman"/>
          <w:sz w:val="21"/>
          <w:szCs w:val="21"/>
          <w:color w:val="auto"/>
        </w:rPr>
        <w:t>” means one or more dates during an Offering selected by the Board on which Purchase Rights will be exercised and on which purchases of shares of Common Stock will be carried out in accordance with such Offering.</w:t>
      </w:r>
    </w:p>
    <w:p>
      <w:pPr>
        <w:spacing w:after="0" w:line="12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Period</w:t>
      </w:r>
      <w:r>
        <w:rPr>
          <w:rFonts w:ascii="Times New Roman" w:cs="Times New Roman" w:eastAsia="Times New Roman" w:hAnsi="Times New Roman"/>
          <w:sz w:val="22"/>
          <w:szCs w:val="22"/>
          <w:color w:val="auto"/>
        </w:rPr>
        <w:t>” means a period of time specified within an Offering, generally beginning on the Offering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or on the first Trading Day following a Purchase Date, and ending on a Purchase Date. An Offering may consist of one or more Purchase Periods.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Right</w:t>
      </w:r>
      <w:r>
        <w:rPr>
          <w:rFonts w:ascii="Times New Roman" w:cs="Times New Roman" w:eastAsia="Times New Roman" w:hAnsi="Times New Roman"/>
          <w:sz w:val="22"/>
          <w:szCs w:val="22"/>
          <w:color w:val="auto"/>
        </w:rPr>
        <w:t>” means an option to purchase shares of Common Stock granted pursuant to the Plan.</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Related Corporation</w:t>
      </w:r>
      <w:r>
        <w:rPr>
          <w:rFonts w:ascii="Times New Roman" w:cs="Times New Roman" w:eastAsia="Times New Roman" w:hAnsi="Times New Roman"/>
          <w:sz w:val="22"/>
          <w:szCs w:val="22"/>
          <w:color w:val="auto"/>
        </w:rPr>
        <w:t>” means any “parent corporation” or “subsidiary corporation” of the Company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now or subsequently established, as those terms are defined in Sections 424(e) and (f), respectively, of the Code.</w:t>
      </w:r>
    </w:p>
    <w:p>
      <w:pPr>
        <w:spacing w:after="0" w:line="145" w:lineRule="exact"/>
        <w:rPr>
          <w:sz w:val="20"/>
          <w:szCs w:val="20"/>
          <w:color w:val="auto"/>
        </w:rPr>
      </w:pPr>
    </w:p>
    <w:p>
      <w:pPr>
        <w:ind w:left="1500" w:hanging="743"/>
        <w:spacing w:after="0"/>
        <w:tabs>
          <w:tab w:leader="none" w:pos="150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color w:val="auto"/>
        </w:rPr>
        <w:t>(y)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any day on which the exchange(s) or market(s) on which shares of Common Stock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listed, including but not limited to the NYSE, Nasdaq Global Select Market, the Nasdaq Global Market, the Nasdaq Capital Market or any successors thereto, is open for trading.</w:t>
      </w: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1)"/>
      <w:numFmt w:val="lowerLetter"/>
      <w:start w:val="5"/>
    </w:lvl>
  </w:abstractNum>
  <w:abstractNum w:abstractNumId="2">
    <w:nsid w:val="D34B6A8"/>
    <w:multiLevelType w:val="hybridMultilevel"/>
    <w:lvl w:ilvl="0">
      <w:lvlJc w:val="left"/>
      <w:lvlText w:val="(%1)"/>
      <w:numFmt w:val="decimal"/>
      <w:start w:val="1"/>
    </w:lvl>
  </w:abstractNum>
  <w:abstractNum w:abstractNumId="3">
    <w:nsid w:val="10233C99"/>
    <w:multiLevelType w:val="hybridMultilevel"/>
    <w:lvl w:ilvl="0">
      <w:lvlJc w:val="left"/>
      <w:lvlText w:val="(%1)"/>
      <w:numFmt w:val="decimal"/>
      <w:start w:val="5"/>
    </w:lvl>
  </w:abstractNum>
  <w:abstractNum w:abstractNumId="4">
    <w:nsid w:val="3F6AB60F"/>
    <w:multiLevelType w:val="hybridMultilevel"/>
    <w:lvl w:ilvl="0">
      <w:lvlJc w:val="left"/>
      <w:lvlText w:val="%1."/>
      <w:numFmt w:val="decimal"/>
      <w:start w:val="1"/>
    </w:lvl>
  </w:abstractNum>
  <w:abstractNum w:abstractNumId="5">
    <w:nsid w:val="61574095"/>
    <w:multiLevelType w:val="hybridMultilevel"/>
    <w:lvl w:ilvl="0">
      <w:lvlJc w:val="left"/>
      <w:lvlText w:val="(%1)"/>
      <w:numFmt w:val="lowerLetter"/>
      <w:start w:val="3"/>
    </w:lvl>
  </w:abstractNum>
  <w:abstractNum w:abstractNumId="6">
    <w:nsid w:val="7E0C57B1"/>
    <w:multiLevelType w:val="hybridMultilevel"/>
    <w:lvl w:ilvl="0">
      <w:lvlJc w:val="left"/>
      <w:lvlText w:val="%1."/>
      <w:numFmt w:val="decimal"/>
      <w:start w:val="2"/>
    </w:lvl>
  </w:abstractNum>
  <w:abstractNum w:abstractNumId="7">
    <w:nsid w:val="77AE35EB"/>
    <w:multiLevelType w:val="hybridMultilevel"/>
    <w:lvl w:ilvl="0">
      <w:lvlJc w:val="left"/>
      <w:lvlText w:val="(%1)"/>
      <w:numFmt w:val="lowerRoman"/>
      <w:start w:val="1"/>
    </w:lvl>
  </w:abstractNum>
  <w:abstractNum w:abstractNumId="8">
    <w:nsid w:val="579BE4F1"/>
    <w:multiLevelType w:val="hybridMultilevel"/>
    <w:lvl w:ilvl="0">
      <w:lvlJc w:val="left"/>
      <w:lvlText w:val="%1"/>
      <w:numFmt w:val="lowerLetter"/>
      <w:start w:val="1"/>
    </w:lvl>
    <w:lvl w:ilvl="1">
      <w:lvlJc w:val="left"/>
      <w:lvlText w:val="(%2)"/>
      <w:numFmt w:val="lowerRoman"/>
      <w:start w:val="7"/>
    </w:lvl>
  </w:abstractNum>
  <w:abstractNum w:abstractNumId="9">
    <w:nsid w:val="310C50B3"/>
    <w:multiLevelType w:val="hybridMultilevel"/>
    <w:lvl w:ilvl="0">
      <w:lvlJc w:val="left"/>
      <w:lvlText w:val="(%1)"/>
      <w:numFmt w:val="lowerLetter"/>
      <w:start w:val="3"/>
    </w:lvl>
    <w:lvl w:ilvl="1">
      <w:lvlJc w:val="left"/>
      <w:lvlText w:val="(%2)"/>
      <w:numFmt w:val="lowerRoman"/>
      <w:start w:val="1"/>
    </w:lvl>
  </w:abstractNum>
  <w:abstractNum w:abstractNumId="10">
    <w:nsid w:val="5FF87E05"/>
    <w:multiLevelType w:val="hybridMultilevel"/>
    <w:lvl w:ilvl="0">
      <w:lvlJc w:val="left"/>
      <w:lvlText w:val="%1"/>
      <w:numFmt w:val="decimal"/>
      <w:start w:val="1"/>
    </w:lvl>
    <w:lvl w:ilvl="1">
      <w:lvlJc w:val="left"/>
      <w:lvlText w:val="(%2)"/>
      <w:numFmt w:val="lowerLetter"/>
      <w:start w:val="5"/>
    </w:lvl>
  </w:abstractNum>
  <w:abstractNum w:abstractNumId="11">
    <w:nsid w:val="2F305DEF"/>
    <w:multiLevelType w:val="hybridMultilevel"/>
    <w:lvl w:ilvl="0">
      <w:lvlJc w:val="left"/>
      <w:lvlText w:val="%1."/>
      <w:numFmt w:val="decimal"/>
      <w:start w:val="3"/>
    </w:lvl>
    <w:lvl w:ilvl="1">
      <w:lvlJc w:val="left"/>
      <w:lvlText w:val="%2"/>
      <w:numFmt w:val="lowerLetter"/>
      <w:start w:val="1"/>
    </w:lvl>
  </w:abstractNum>
  <w:abstractNum w:abstractNumId="12">
    <w:nsid w:val="25A70BF7"/>
    <w:multiLevelType w:val="hybridMultilevel"/>
    <w:lvl w:ilvl="0">
      <w:lvlJc w:val="left"/>
      <w:lvlText w:val="(%1)"/>
      <w:numFmt w:val="lowerRoman"/>
      <w:start w:val="1"/>
    </w:lvl>
  </w:abstractNum>
  <w:abstractNum w:abstractNumId="13">
    <w:nsid w:val="1DBABF00"/>
    <w:multiLevelType w:val="hybridMultilevel"/>
    <w:lvl w:ilvl="0">
      <w:lvlJc w:val="left"/>
      <w:lvlText w:val="(%1)"/>
      <w:numFmt w:val="lowerRoman"/>
      <w:start w:val="1"/>
    </w:lvl>
  </w:abstractNum>
  <w:abstractNum w:abstractNumId="14">
    <w:nsid w:val="4AD084E9"/>
    <w:multiLevelType w:val="hybridMultilevel"/>
    <w:lvl w:ilvl="0">
      <w:lvlJc w:val="left"/>
      <w:lvlText w:val="(%1)"/>
      <w:numFmt w:val="lowerLetter"/>
      <w:start w:val="3"/>
    </w:lvl>
  </w:abstractNum>
  <w:abstractNum w:abstractNumId="15">
    <w:nsid w:val="1F48EAA1"/>
    <w:multiLevelType w:val="hybridMultilevel"/>
    <w:lvl w:ilvl="0">
      <w:lvlJc w:val="left"/>
      <w:lvlText w:val="%1."/>
      <w:numFmt w:val="decimal"/>
      <w:start w:val="4"/>
    </w:lvl>
  </w:abstractNum>
  <w:abstractNum w:abstractNumId="16">
    <w:nsid w:val="1381823A"/>
    <w:multiLevelType w:val="hybridMultilevel"/>
    <w:lvl w:ilvl="0">
      <w:lvlJc w:val="left"/>
      <w:lvlText w:val="%1"/>
      <w:numFmt w:val="decimal"/>
      <w:start w:val="1"/>
    </w:lvl>
    <w:lvl w:ilvl="1">
      <w:lvlJc w:val="left"/>
      <w:lvlText w:val="(%2)"/>
      <w:numFmt w:val="lowerLetter"/>
      <w:start w:val="3"/>
    </w:lvl>
  </w:abstractNum>
  <w:abstractNum w:abstractNumId="17">
    <w:nsid w:val="5DB70AE5"/>
    <w:multiLevelType w:val="hybridMultilevel"/>
    <w:lvl w:ilvl="0">
      <w:lvlJc w:val="left"/>
      <w:lvlText w:val="%1."/>
      <w:numFmt w:val="decimal"/>
      <w:start w:val="5"/>
    </w:lvl>
    <w:lvl w:ilvl="1">
      <w:lvlJc w:val="left"/>
      <w:lvlText w:val="%2"/>
      <w:numFmt w:val="lowerLetter"/>
      <w:start w:val="1"/>
    </w:lvl>
  </w:abstractNum>
  <w:abstractNum w:abstractNumId="18">
    <w:nsid w:val="100F8FCA"/>
    <w:multiLevelType w:val="hybridMultilevel"/>
    <w:lvl w:ilvl="0">
      <w:lvlJc w:val="left"/>
      <w:lvlText w:val="(%1)"/>
      <w:numFmt w:val="lowerLetter"/>
      <w:start w:val="3"/>
    </w:lvl>
    <w:lvl w:ilvl="1">
      <w:lvlJc w:val="left"/>
      <w:lvlText w:val="(%2)"/>
      <w:numFmt w:val="lowerRoman"/>
      <w:start w:val="1"/>
    </w:lvl>
  </w:abstractNum>
  <w:abstractNum w:abstractNumId="19">
    <w:nsid w:val="6590700B"/>
    <w:multiLevelType w:val="hybridMultilevel"/>
    <w:lvl w:ilvl="0">
      <w:lvlJc w:val="left"/>
      <w:lvlText w:val="(%1)"/>
      <w:numFmt w:val="lowerLetter"/>
      <w:start w:val="5"/>
    </w:lvl>
    <w:lvl w:ilvl="1">
      <w:lvlJc w:val="left"/>
      <w:lvlText w:val="(%2)"/>
      <w:numFmt w:val="lowerRoman"/>
      <w:start w:val="1"/>
    </w:lvl>
  </w:abstractNum>
  <w:abstractNum w:abstractNumId="20">
    <w:nsid w:val="15014ACB"/>
    <w:multiLevelType w:val="hybridMultilevel"/>
    <w:lvl w:ilvl="0">
      <w:lvlJc w:val="left"/>
      <w:lvlText w:val="%1"/>
      <w:numFmt w:val="lowerLetter"/>
      <w:start w:val="1"/>
    </w:lvl>
    <w:lvl w:ilvl="1">
      <w:lvlJc w:val="left"/>
      <w:lvlText w:val="(%2)"/>
      <w:numFmt w:val="lowerLetter"/>
      <w:start w:val="9"/>
    </w:lvl>
  </w:abstractNum>
  <w:abstractNum w:abstractNumId="21">
    <w:nsid w:val="5F5E7FD0"/>
    <w:multiLevelType w:val="hybridMultilevel"/>
    <w:lvl w:ilvl="0">
      <w:lvlJc w:val="left"/>
      <w:lvlText w:val="(%1)"/>
      <w:numFmt w:val="lowerLetter"/>
      <w:start w:val="9"/>
    </w:lvl>
    <w:lvl w:ilvl="1">
      <w:lvlJc w:val="left"/>
      <w:lvlText w:val="(%2)"/>
      <w:numFmt w:val="lowerLetter"/>
      <w:start w:val="10"/>
    </w:lvl>
  </w:abstractNum>
  <w:abstractNum w:abstractNumId="22">
    <w:nsid w:val="98A3148"/>
    <w:multiLevelType w:val="hybridMultilevel"/>
    <w:lvl w:ilvl="0">
      <w:lvlJc w:val="left"/>
      <w:lvlText w:val="%1"/>
      <w:numFmt w:val="lowerLetter"/>
      <w:start w:val="1"/>
    </w:lvl>
    <w:lvl w:ilvl="1">
      <w:lvlJc w:val="left"/>
      <w:lvlText w:val="(%2)"/>
      <w:numFmt w:val="lowerLetter"/>
      <w:start w:val="12"/>
    </w:lvl>
  </w:abstractNum>
  <w:abstractNum w:abstractNumId="23">
    <w:nsid w:val="799D0247"/>
    <w:multiLevelType w:val="hybridMultilevel"/>
    <w:lvl w:ilvl="0">
      <w:lvlJc w:val="left"/>
      <w:lvlText w:val="(%1)"/>
      <w:numFmt w:val="lowerLetter"/>
      <w:start w:val="61"/>
    </w:lvl>
    <w:lvl w:ilvl="1">
      <w:lvlJc w:val="left"/>
      <w:lvlText w:val="%2"/>
      <w:numFmt w:val="lowerLetter"/>
      <w:start w:val="1"/>
    </w:lvl>
  </w:abstractNum>
  <w:abstractNum w:abstractNumId="24">
    <w:nsid w:val="6B94764"/>
    <w:multiLevelType w:val="hybridMultilevel"/>
    <w:lvl w:ilvl="0">
      <w:lvlJc w:val="left"/>
      <w:lvlText w:val="%1."/>
      <w:numFmt w:val="decimal"/>
      <w:start w:val="6"/>
    </w:lvl>
  </w:abstractNum>
  <w:abstractNum w:abstractNumId="25">
    <w:nsid w:val="42C296BD"/>
    <w:multiLevelType w:val="hybridMultilevel"/>
    <w:lvl w:ilvl="0">
      <w:lvlJc w:val="left"/>
      <w:lvlText w:val="(%1)"/>
      <w:numFmt w:val="lowerRoman"/>
      <w:start w:val="1"/>
    </w:lvl>
  </w:abstractNum>
  <w:abstractNum w:abstractNumId="26">
    <w:nsid w:val="168E121F"/>
    <w:multiLevelType w:val="hybridMultilevel"/>
    <w:lvl w:ilvl="0">
      <w:lvlJc w:val="left"/>
      <w:lvlText w:val="(%1)"/>
      <w:numFmt w:val="lowerRoman"/>
      <w:start w:val="2"/>
    </w:lvl>
  </w:abstractNum>
  <w:abstractNum w:abstractNumId="27">
    <w:nsid w:val="1EBA5D23"/>
    <w:multiLevelType w:val="hybridMultilevel"/>
    <w:lvl w:ilvl="0">
      <w:lvlJc w:val="left"/>
      <w:lvlText w:val="(%1)"/>
      <w:numFmt w:val="lowerRoman"/>
      <w:start w:val="1"/>
    </w:lvl>
  </w:abstractNum>
  <w:abstractNum w:abstractNumId="28">
    <w:nsid w:val="661E3F1E"/>
    <w:multiLevelType w:val="hybridMultilevel"/>
    <w:lvl w:ilvl="0">
      <w:lvlJc w:val="left"/>
      <w:lvlText w:val="%1"/>
      <w:numFmt w:val="lowerLetter"/>
      <w:start w:val="1"/>
    </w:lvl>
    <w:lvl w:ilvl="1">
      <w:lvlJc w:val="left"/>
      <w:lvlText w:val="(%2)"/>
      <w:numFmt w:val="lowerRoman"/>
      <w:start w:val="5"/>
    </w:lvl>
  </w:abstractNum>
  <w:abstractNum w:abstractNumId="29">
    <w:nsid w:val="5DC79EA8"/>
    <w:multiLevelType w:val="hybridMultilevel"/>
    <w:lvl w:ilvl="0">
      <w:lvlJc w:val="left"/>
      <w:lvlText w:val="(%1)"/>
      <w:numFmt w:val="lowerLetter"/>
      <w:start w:val="3"/>
    </w:lvl>
    <w:lvl w:ilvl="1">
      <w:lvlJc w:val="left"/>
      <w:lvlText w:val="(%2)"/>
      <w:numFmt w:val="lowerRoman"/>
      <w:start w:val="1"/>
    </w:lvl>
  </w:abstractNum>
  <w:abstractNum w:abstractNumId="30">
    <w:nsid w:val="540A471C"/>
    <w:multiLevelType w:val="hybridMultilevel"/>
    <w:lvl w:ilvl="0">
      <w:lvlJc w:val="left"/>
      <w:lvlText w:val="%1."/>
      <w:numFmt w:val="decimal"/>
      <w:start w:val="7"/>
    </w:lvl>
  </w:abstractNum>
  <w:abstractNum w:abstractNumId="31">
    <w:nsid w:val="7BD3EE7B"/>
    <w:multiLevelType w:val="hybridMultilevel"/>
    <w:lvl w:ilvl="0">
      <w:lvlJc w:val="left"/>
      <w:lvlText w:val="%1"/>
      <w:numFmt w:val="decimal"/>
      <w:start w:val="1"/>
    </w:lvl>
    <w:lvl w:ilvl="1">
      <w:lvlJc w:val="left"/>
      <w:lvlText w:val="(%2)"/>
      <w:numFmt w:val="lowerLetter"/>
      <w:start w:val="3"/>
    </w:lvl>
  </w:abstractNum>
  <w:abstractNum w:abstractNumId="32">
    <w:nsid w:val="51D9C564"/>
    <w:multiLevelType w:val="hybridMultilevel"/>
    <w:lvl w:ilvl="0">
      <w:lvlJc w:val="left"/>
      <w:lvlText w:val="%1."/>
      <w:numFmt w:val="decimal"/>
      <w:start w:val="8"/>
    </w:lvl>
    <w:lvl w:ilvl="1">
      <w:lvlJc w:val="left"/>
      <w:lvlText w:val="%2"/>
      <w:numFmt w:val="lowerLetter"/>
      <w:start w:val="1"/>
    </w:lvl>
  </w:abstractNum>
  <w:abstractNum w:abstractNumId="33">
    <w:nsid w:val="613EFDC5"/>
    <w:multiLevelType w:val="hybridMultilevel"/>
    <w:lvl w:ilvl="0">
      <w:lvlJc w:val="left"/>
      <w:lvlText w:val="(%1)"/>
      <w:numFmt w:val="lowerLetter"/>
      <w:start w:val="3"/>
    </w:lvl>
  </w:abstractNum>
  <w:abstractNum w:abstractNumId="34">
    <w:nsid w:val="BF72B14"/>
    <w:multiLevelType w:val="hybridMultilevel"/>
    <w:lvl w:ilvl="0">
      <w:lvlJc w:val="left"/>
      <w:lvlText w:val="%1"/>
      <w:numFmt w:val="lowerLetter"/>
      <w:start w:val="1"/>
    </w:lvl>
    <w:lvl w:ilvl="1">
      <w:lvlJc w:val="left"/>
      <w:lvlText w:val="(%2)"/>
      <w:numFmt w:val="lowerLetter"/>
      <w:start w:val="5"/>
    </w:lvl>
  </w:abstractNum>
  <w:abstractNum w:abstractNumId="35">
    <w:nsid w:val="11447B73"/>
    <w:multiLevelType w:val="hybridMultilevel"/>
    <w:lvl w:ilvl="0">
      <w:lvlJc w:val="left"/>
      <w:lvlText w:val="(%1)"/>
      <w:numFmt w:val="lowerLetter"/>
      <w:start w:val="35"/>
    </w:lvl>
    <w:lvl w:ilvl="1">
      <w:lvlJc w:val="left"/>
      <w:lvlText w:val="(%2)"/>
      <w:numFmt w:val="lowerLetter"/>
      <w:start w:val="6"/>
    </w:lvl>
  </w:abstractNum>
  <w:abstractNum w:abstractNumId="36">
    <w:nsid w:val="42963E5A"/>
    <w:multiLevelType w:val="hybridMultilevel"/>
    <w:lvl w:ilvl="0">
      <w:lvlJc w:val="left"/>
      <w:lvlText w:val="(%1)"/>
      <w:numFmt w:val="lowerLetter"/>
      <w:start w:val="9"/>
    </w:lvl>
  </w:abstractNum>
  <w:abstractNum w:abstractNumId="37">
    <w:nsid w:val="A0382C5"/>
    <w:multiLevelType w:val="hybridMultilevel"/>
    <w:lvl w:ilvl="0">
      <w:lvlJc w:val="left"/>
      <w:lvlText w:val="(%1)"/>
      <w:numFmt w:val="lowerLetter"/>
      <w:start w:val="12"/>
    </w:lvl>
  </w:abstractNum>
  <w:abstractNum w:abstractNumId="38">
    <w:nsid w:val="8F2B15E"/>
    <w:multiLevelType w:val="hybridMultilevel"/>
    <w:lvl w:ilvl="0">
      <w:lvlJc w:val="left"/>
      <w:lvlText w:val="%1."/>
      <w:numFmt w:val="decimal"/>
      <w:start w:val="9"/>
    </w:lvl>
  </w:abstractNum>
  <w:abstractNum w:abstractNumId="39">
    <w:nsid w:val="1A32234B"/>
    <w:multiLevelType w:val="hybridMultilevel"/>
    <w:lvl w:ilvl="0">
      <w:lvlJc w:val="left"/>
      <w:lvlText w:val="(%1)"/>
      <w:numFmt w:val="lowerLetter"/>
      <w:start w:val="3"/>
    </w:lvl>
    <w:lvl w:ilvl="1">
      <w:lvlJc w:val="left"/>
      <w:lvlText w:val="(%2)"/>
      <w:numFmt w:val="lowerRoman"/>
      <w:start w:val="1"/>
    </w:lvl>
  </w:abstractNum>
  <w:abstractNum w:abstractNumId="40">
    <w:nsid w:val="3B0FD379"/>
    <w:multiLevelType w:val="hybridMultilevel"/>
    <w:lvl w:ilvl="0">
      <w:lvlJc w:val="left"/>
      <w:lvlText w:val="(%1)"/>
      <w:numFmt w:val="lowerRoman"/>
      <w:start w:val="3"/>
    </w:lvl>
  </w:abstractNum>
  <w:abstractNum w:abstractNumId="41">
    <w:nsid w:val="68EB2F63"/>
    <w:multiLevelType w:val="hybridMultilevel"/>
    <w:lvl w:ilvl="0">
      <w:lvlJc w:val="left"/>
      <w:lvlText w:val="%1."/>
      <w:numFmt w:val="decimal"/>
      <w:start w:val="10"/>
    </w:lvl>
  </w:abstractNum>
  <w:abstractNum w:abstractNumId="42">
    <w:nsid w:val="4962813B"/>
    <w:multiLevelType w:val="hybridMultilevel"/>
    <w:lvl w:ilvl="0">
      <w:lvlJc w:val="left"/>
      <w:lvlText w:val="%1."/>
      <w:numFmt w:val="decimal"/>
      <w:start w:val="11"/>
    </w:lvl>
  </w:abstractNum>
  <w:abstractNum w:abstractNumId="43">
    <w:nsid w:val="60B6DF70"/>
    <w:multiLevelType w:val="hybridMultilevel"/>
    <w:lvl w:ilvl="0">
      <w:lvlJc w:val="left"/>
      <w:lvlText w:val="%1."/>
      <w:numFmt w:val="decimal"/>
      <w:start w:val="12"/>
    </w:lvl>
  </w:abstractNum>
  <w:abstractNum w:abstractNumId="44">
    <w:nsid w:val="6A5EE64"/>
    <w:multiLevelType w:val="hybridMultilevel"/>
    <w:lvl w:ilvl="0">
      <w:lvlJc w:val="left"/>
      <w:lvlText w:val="%1."/>
      <w:numFmt w:val="decimal"/>
      <w:start w:val="13"/>
    </w:lvl>
    <w:lvl w:ilvl="1">
      <w:lvlJc w:val="left"/>
      <w:lvlText w:val="(%2)"/>
      <w:numFmt w:val="lowerLetter"/>
      <w:start w:val="1"/>
    </w:lvl>
  </w:abstractNum>
  <w:abstractNum w:abstractNumId="45">
    <w:nsid w:val="14330624"/>
    <w:multiLevelType w:val="hybridMultilevel"/>
    <w:lvl w:ilvl="0">
      <w:lvlJc w:val="left"/>
      <w:lvlText w:val="(%1)"/>
      <w:numFmt w:val="lowerLetter"/>
      <w:start w:val="3"/>
    </w:lvl>
  </w:abstractNum>
  <w:abstractNum w:abstractNumId="46">
    <w:nsid w:val="7FFFCA11"/>
    <w:multiLevelType w:val="hybridMultilevel"/>
    <w:lvl w:ilvl="0">
      <w:lvlJc w:val="left"/>
      <w:lvlText w:val="(%1)"/>
      <w:numFmt w:val="lowerLetter"/>
      <w:start w:val="5"/>
    </w:lvl>
  </w:abstractNum>
  <w:abstractNum w:abstractNumId="47">
    <w:nsid w:val="1A27709E"/>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48">
    <w:nsid w:val="71EA1109"/>
    <w:multiLevelType w:val="hybridMultilevel"/>
    <w:lvl w:ilvl="0">
      <w:lvlJc w:val="left"/>
      <w:lvlText w:val="(%1)"/>
      <w:numFmt w:val="lowerRoman"/>
      <w:start w:val="4"/>
    </w:lvl>
    <w:lvl w:ilvl="1">
      <w:lvlJc w:val="left"/>
      <w:lvlText w:val="(%2)"/>
      <w:numFmt w:val="lowerLetter"/>
      <w:start w:val="7"/>
    </w:lvl>
    <w:lvl w:ilvl="2">
      <w:lvlJc w:val="left"/>
      <w:lvlText w:val="(%3)"/>
      <w:numFmt w:val="lowerRoman"/>
      <w:start w:val="1"/>
    </w:lvl>
  </w:abstractNum>
  <w:abstractNum w:abstractNumId="49">
    <w:nsid w:val="100F59DC"/>
    <w:multiLevelType w:val="hybridMultilevel"/>
    <w:lvl w:ilvl="0">
      <w:lvlJc w:val="left"/>
      <w:lvlText w:val="(%1)"/>
      <w:numFmt w:val="lowerRoman"/>
      <w:start w:val="3"/>
    </w:lvl>
  </w:abstractNum>
  <w:abstractNum w:abstractNumId="50">
    <w:nsid w:val="7FB7E0AA"/>
    <w:multiLevelType w:val="hybridMultilevel"/>
    <w:lvl w:ilvl="0">
      <w:lvlJc w:val="left"/>
      <w:lvlText w:val="(%1)"/>
      <w:numFmt w:val="lowerLetter"/>
      <w:start w:val="9"/>
    </w:lvl>
  </w:abstractNum>
  <w:abstractNum w:abstractNumId="51">
    <w:nsid w:val="6EB5BD4"/>
    <w:multiLevelType w:val="hybridMultilevel"/>
    <w:lvl w:ilvl="0">
      <w:lvlJc w:val="left"/>
      <w:lvlText w:val="(%1)"/>
      <w:numFmt w:val="lowerLetter"/>
      <w:start w:val="12"/>
    </w:lvl>
  </w:abstractNum>
  <w:abstractNum w:abstractNumId="52">
    <w:nsid w:val="6F6DD9AC"/>
    <w:multiLevelType w:val="hybridMultilevel"/>
    <w:lvl w:ilvl="0">
      <w:lvlJc w:val="left"/>
      <w:lvlText w:val="(%1)"/>
      <w:numFmt w:val="lowerRoman"/>
      <w:start w:val="1"/>
    </w:lvl>
  </w:abstractNum>
  <w:abstractNum w:abstractNumId="53">
    <w:nsid w:val="94211F2"/>
    <w:multiLevelType w:val="hybridMultilevel"/>
    <w:lvl w:ilvl="0">
      <w:lvlJc w:val="left"/>
      <w:lvlText w:val="(%1)"/>
      <w:numFmt w:val="decimal"/>
      <w:start w:val="5"/>
    </w:lvl>
    <w:lvl w:ilvl="1">
      <w:lvlJc w:val="left"/>
      <w:lvlText w:val="(%2)"/>
      <w:numFmt w:val="lowerLetter"/>
      <w:start w:val="15"/>
    </w:lvl>
  </w:abstractNum>
  <w:abstractNum w:abstractNumId="54">
    <w:nsid w:val="885E1B"/>
    <w:multiLevelType w:val="hybridMultilevel"/>
    <w:lvl w:ilvl="0">
      <w:lvlJc w:val="left"/>
      <w:lvlText w:val="(%1)"/>
      <w:numFmt w:val="lowerLetter"/>
      <w:start w:val="18"/>
    </w:lvl>
  </w:abstractNum>
  <w:abstractNum w:abstractNumId="55">
    <w:nsid w:val="76272110"/>
    <w:multiLevelType w:val="hybridMultilevel"/>
    <w:lvl w:ilvl="0">
      <w:lvlJc w:val="left"/>
      <w:lvlText w:val="(%1)"/>
      <w:numFmt w:val="lowerRoman"/>
      <w:start w:val="2"/>
    </w:lvl>
    <w:lvl w:ilvl="1">
      <w:lvlJc w:val="left"/>
      <w:lvlText w:val="(%2)"/>
      <w:numFmt w:val="lowerRoman"/>
      <w:start w:val="5"/>
    </w:lvl>
    <w:lvl w:ilvl="2">
      <w:lvlJc w:val="left"/>
      <w:lvlText w:val="(%3)"/>
      <w:numFmt w:val="lowerRoman"/>
      <w:start w:val="1"/>
    </w:lvl>
  </w:abstractNum>
  <w:abstractNum w:abstractNumId="56">
    <w:nsid w:val="4C04A8AF"/>
    <w:multiLevelType w:val="hybridMultilevel"/>
    <w:lvl w:ilvl="0">
      <w:lvlJc w:val="left"/>
      <w:lvlText w:val="(%1)"/>
      <w:numFmt w:val="lowerLetter"/>
      <w:start w:val="24"/>
    </w:lvl>
  </w:abstractNum>
  <w:abstractNum w:abstractNumId="57">
    <w:nsid w:val="1716703B"/>
    <w:multiLevelType w:val="hybridMultilevel"/>
    <w:lvl w:ilvl="0">
      <w:lvlJc w:val="left"/>
      <w:lvlText w:val="(%1)"/>
      <w:numFmt w:val="decimal"/>
      <w:start w:val="26"/>
    </w:lvl>
  </w:abstractNum>
  <w:abstractNum w:abstractNumId="58">
    <w:nsid w:val="14E17E33"/>
    <w:multiLevelType w:val="hybridMultilevel"/>
    <w:lvl w:ilvl="0">
      <w:lvlJc w:val="left"/>
      <w:lvlText w:val="(%1)"/>
      <w:numFmt w:val="decimal"/>
      <w:start w:val="35"/>
    </w:lvl>
  </w:abstractNum>
  <w:abstractNum w:abstractNumId="59">
    <w:nsid w:val="3222E7CD"/>
    <w:multiLevelType w:val="hybridMultilevel"/>
    <w:lvl w:ilvl="0">
      <w:lvlJc w:val="left"/>
      <w:lvlText w:val="(%1)"/>
      <w:numFmt w:val="decimal"/>
      <w:start w:val="44"/>
    </w:lvl>
  </w:abstractNum>
  <w:abstractNum w:abstractNumId="60">
    <w:nsid w:val="74DE0EE3"/>
    <w:multiLevelType w:val="hybridMultilevel"/>
    <w:lvl w:ilvl="0">
      <w:lvlJc w:val="left"/>
      <w:lvlText w:val="(%1)"/>
      <w:numFmt w:val="lowerLetter"/>
      <w:start w:val="46"/>
    </w:lvl>
  </w:abstractNum>
  <w:abstractNum w:abstractNumId="61">
    <w:nsid w:val="68EBC550"/>
    <w:multiLevelType w:val="hybridMultilevel"/>
    <w:lvl w:ilvl="0">
      <w:lvlJc w:val="left"/>
      <w:lvlText w:val="%1."/>
      <w:numFmt w:val="decimal"/>
      <w:start w:val="1"/>
    </w:lvl>
    <w:lvl w:ilvl="1">
      <w:lvlJc w:val="left"/>
      <w:lvlText w:val="(%2)"/>
      <w:numFmt w:val="lowerLetter"/>
      <w:start w:val="1"/>
    </w:lvl>
  </w:abstractNum>
  <w:abstractNum w:abstractNumId="62">
    <w:nsid w:val="2DF6D64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63">
    <w:nsid w:val="46B7D447"/>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64">
    <w:nsid w:val="4A2AC31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65">
    <w:nsid w:val="39EE015C"/>
    <w:multiLevelType w:val="hybridMultilevel"/>
    <w:lvl w:ilvl="0">
      <w:lvlJc w:val="left"/>
      <w:lvlText w:val="%1."/>
      <w:numFmt w:val="decimal"/>
      <w:start w:val="9"/>
    </w:lvl>
    <w:lvl w:ilvl="1">
      <w:lvlJc w:val="left"/>
      <w:lvlText w:val="(%2)"/>
      <w:numFmt w:val="lowerLetter"/>
      <w:start w:val="1"/>
    </w:lvl>
  </w:abstractNum>
  <w:abstractNum w:abstractNumId="66">
    <w:nsid w:val="57FC4FBB"/>
    <w:multiLevelType w:val="hybridMultilevel"/>
    <w:lvl w:ilvl="0">
      <w:lvlJc w:val="left"/>
      <w:lvlText w:val="(%1)"/>
      <w:numFmt w:val="lowerLetter"/>
      <w:start w:val="1"/>
    </w:lvl>
  </w:abstractNum>
  <w:abstractNum w:abstractNumId="67">
    <w:nsid w:val="CC1016F"/>
    <w:multiLevelType w:val="hybridMultilevel"/>
    <w:lvl w:ilvl="0">
      <w:lvlJc w:val="left"/>
      <w:lvlText w:val="%1."/>
      <w:numFmt w:val="decimal"/>
      <w:start w:val="11"/>
    </w:lvl>
    <w:lvl w:ilvl="1">
      <w:lvlJc w:val="left"/>
      <w:lvlText w:val="(%2)"/>
      <w:numFmt w:val="lowerLetter"/>
      <w:start w:val="1"/>
    </w:lvl>
  </w:abstractNum>
  <w:abstractNum w:abstractNumId="68">
    <w:nsid w:val="43F18422"/>
    <w:multiLevelType w:val="hybridMultilevel"/>
    <w:lvl w:ilvl="0">
      <w:lvlJc w:val="left"/>
      <w:lvlText w:val="%1."/>
      <w:numFmt w:val="decimal"/>
      <w:start w:val="16"/>
    </w:lvl>
  </w:abstractNum>
  <w:abstractNum w:abstractNumId="69">
    <w:nsid w:val="60EF0119"/>
    <w:multiLevelType w:val="hybridMultilevel"/>
    <w:lvl w:ilvl="0">
      <w:lvlJc w:val="left"/>
      <w:lvlText w:val="1"/>
      <w:numFmt w:val="bullet"/>
      <w:start w:val="1"/>
    </w:lvl>
  </w:abstractNum>
  <w:abstractNum w:abstractNumId="70">
    <w:nsid w:val="26F324BA"/>
    <w:multiLevelType w:val="hybridMultilevel"/>
    <w:lvl w:ilvl="0">
      <w:lvlJc w:val="left"/>
      <w:lvlText w:val="2"/>
      <w:numFmt w:val="bullet"/>
      <w:start w:val="1"/>
    </w:lvl>
  </w:abstractNum>
  <w:abstractNum w:abstractNumId="71">
    <w:nsid w:val="7F01579B"/>
    <w:multiLevelType w:val="hybridMultilevel"/>
    <w:lvl w:ilvl="0">
      <w:lvlJc w:val="left"/>
      <w:lvlText w:val="3"/>
      <w:numFmt w:val="bullet"/>
      <w:start w:val="1"/>
    </w:lvl>
  </w:abstractNum>
  <w:abstractNum w:abstractNumId="72">
    <w:nsid w:val="49DA307D"/>
    <w:multiLevelType w:val="hybridMultilevel"/>
    <w:lvl w:ilvl="0">
      <w:lvlJc w:val="left"/>
      <w:lvlText w:val="%1."/>
      <w:numFmt w:val="decimal"/>
    </w:lvl>
    <w:lvl w:ilvl="1">
      <w:lvlJc w:val="left"/>
      <w:lvlText w:val="☒"/>
      <w:numFmt w:val="bullet"/>
      <w:start w:val="1"/>
    </w:lvl>
  </w:abstractNum>
  <w:abstractNum w:abstractNumId="73">
    <w:nsid w:val="7055A5F5"/>
    <w:multiLevelType w:val="hybridMultilevel"/>
    <w:lvl w:ilvl="0">
      <w:lvlJc w:val="left"/>
      <w:lvlText w:val="%1."/>
      <w:numFmt w:val="decimal"/>
      <w:start w:val="1"/>
    </w:lvl>
  </w:abstractNum>
  <w:abstractNum w:abstractNumId="74">
    <w:nsid w:val="5FB8370B"/>
    <w:multiLevelType w:val="hybridMultilevel"/>
    <w:lvl w:ilvl="0">
      <w:lvlJc w:val="left"/>
      <w:lvlText w:val="%1."/>
      <w:numFmt w:val="decimal"/>
      <w:start w:val="2"/>
    </w:lvl>
  </w:abstractNum>
  <w:abstractNum w:abstractNumId="75">
    <w:nsid w:val="50801EE1"/>
    <w:multiLevelType w:val="hybridMultilevel"/>
    <w:lvl w:ilvl="0">
      <w:lvlJc w:val="left"/>
      <w:lvlText w:val="(%1)"/>
      <w:numFmt w:val="lowerRoman"/>
      <w:start w:val="1"/>
    </w:lvl>
  </w:abstractNum>
  <w:abstractNum w:abstractNumId="76">
    <w:nsid w:val="488AC1A"/>
    <w:multiLevelType w:val="hybridMultilevel"/>
    <w:lvl w:ilvl="0">
      <w:lvlJc w:val="left"/>
      <w:lvlText w:val="%1"/>
      <w:numFmt w:val="lowerLetter"/>
      <w:start w:val="1"/>
    </w:lvl>
    <w:lvl w:ilvl="1">
      <w:lvlJc w:val="left"/>
      <w:lvlText w:val="(%2)"/>
      <w:numFmt w:val="lowerRoman"/>
      <w:start w:val="7"/>
    </w:lvl>
  </w:abstractNum>
  <w:abstractNum w:abstractNumId="77">
    <w:nsid w:val="5FB8011C"/>
    <w:multiLevelType w:val="hybridMultilevel"/>
    <w:lvl w:ilvl="0">
      <w:lvlJc w:val="left"/>
      <w:lvlText w:val="(%1)"/>
      <w:numFmt w:val="lowerLetter"/>
      <w:start w:val="3"/>
    </w:lvl>
    <w:lvl w:ilvl="1">
      <w:lvlJc w:val="left"/>
      <w:lvlText w:val="%2"/>
      <w:numFmt w:val="lowerRoman"/>
      <w:start w:val="1"/>
    </w:lvl>
  </w:abstractNum>
  <w:abstractNum w:abstractNumId="78">
    <w:nsid w:val="6AA78F7F"/>
    <w:multiLevelType w:val="hybridMultilevel"/>
    <w:lvl w:ilvl="0">
      <w:lvlJc w:val="left"/>
      <w:lvlText w:val="%1."/>
      <w:numFmt w:val="decimal"/>
      <w:start w:val="3"/>
    </w:lvl>
  </w:abstractNum>
  <w:abstractNum w:abstractNumId="79">
    <w:nsid w:val="7672BD23"/>
    <w:multiLevelType w:val="hybridMultilevel"/>
    <w:lvl w:ilvl="0">
      <w:lvlJc w:val="left"/>
      <w:lvlText w:val="(%1)"/>
      <w:numFmt w:val="lowerLetter"/>
      <w:start w:val="3"/>
    </w:lvl>
  </w:abstractNum>
  <w:abstractNum w:abstractNumId="80">
    <w:nsid w:val="6FC75AF8"/>
    <w:multiLevelType w:val="hybridMultilevel"/>
    <w:lvl w:ilvl="0">
      <w:lvlJc w:val="left"/>
      <w:lvlText w:val="%1."/>
      <w:numFmt w:val="decimal"/>
      <w:start w:val="4"/>
    </w:lvl>
  </w:abstractNum>
  <w:abstractNum w:abstractNumId="81">
    <w:nsid w:val="6A5F7029"/>
    <w:multiLevelType w:val="hybridMultilevel"/>
    <w:lvl w:ilvl="0">
      <w:lvlJc w:val="left"/>
      <w:lvlText w:val="%1"/>
      <w:numFmt w:val="decimal"/>
      <w:start w:val="1"/>
    </w:lvl>
    <w:lvl w:ilvl="1">
      <w:lvlJc w:val="left"/>
      <w:lvlText w:val="(%2)"/>
      <w:numFmt w:val="lowerLetter"/>
      <w:start w:val="3"/>
    </w:lvl>
  </w:abstractNum>
  <w:abstractNum w:abstractNumId="82">
    <w:nsid w:val="7D5E18F8"/>
    <w:multiLevelType w:val="hybridMultilevel"/>
    <w:lvl w:ilvl="0">
      <w:lvlJc w:val="left"/>
      <w:lvlText w:val="%1."/>
      <w:numFmt w:val="decimal"/>
      <w:start w:val="5"/>
    </w:lvl>
    <w:lvl w:ilvl="1">
      <w:lvlJc w:val="left"/>
      <w:lvlText w:val="%2"/>
      <w:numFmt w:val="lowerLetter"/>
      <w:start w:val="1"/>
    </w:lvl>
  </w:abstractNum>
  <w:abstractNum w:abstractNumId="83">
    <w:nsid w:val="5F3534A4"/>
    <w:multiLevelType w:val="hybridMultilevel"/>
    <w:lvl w:ilvl="0">
      <w:lvlJc w:val="left"/>
      <w:lvlText w:val="%1"/>
      <w:numFmt w:val="lowerLetter"/>
      <w:start w:val="1"/>
    </w:lvl>
    <w:lvl w:ilvl="1">
      <w:lvlJc w:val="left"/>
      <w:lvlText w:val="(%2)"/>
      <w:numFmt w:val="lowerRoman"/>
      <w:start w:val="1"/>
    </w:lvl>
  </w:abstractNum>
  <w:abstractNum w:abstractNumId="84">
    <w:nsid w:val="73A1821B"/>
    <w:multiLevelType w:val="hybridMultilevel"/>
    <w:lvl w:ilvl="0">
      <w:lvlJc w:val="left"/>
      <w:lvlText w:val="(%1)"/>
      <w:numFmt w:val="lowerLetter"/>
      <w:start w:val="3"/>
    </w:lvl>
    <w:lvl w:ilvl="1">
      <w:lvlJc w:val="left"/>
      <w:lvlText w:val="%2"/>
      <w:numFmt w:val="lowerRoman"/>
      <w:start w:val="1"/>
    </w:lvl>
  </w:abstractNum>
  <w:abstractNum w:abstractNumId="85">
    <w:nsid w:val="7DE67713"/>
    <w:multiLevelType w:val="hybridMultilevel"/>
    <w:lvl w:ilvl="0">
      <w:lvlJc w:val="left"/>
      <w:lvlText w:val="%1"/>
      <w:numFmt w:val="decimal"/>
      <w:start w:val="1"/>
    </w:lvl>
    <w:lvl w:ilvl="1">
      <w:lvlJc w:val="left"/>
      <w:lvlText w:val="(%2)"/>
      <w:numFmt w:val="lowerLetter"/>
      <w:start w:val="5"/>
    </w:lvl>
  </w:abstractNum>
  <w:abstractNum w:abstractNumId="86">
    <w:nsid w:val="555C55B5"/>
    <w:multiLevelType w:val="hybridMultilevel"/>
    <w:lvl w:ilvl="0">
      <w:lvlJc w:val="left"/>
      <w:lvlText w:val="%1."/>
      <w:numFmt w:val="decimal"/>
      <w:start w:val="6"/>
    </w:lvl>
    <w:lvl w:ilvl="1">
      <w:lvlJc w:val="left"/>
      <w:lvlText w:val="%2"/>
      <w:numFmt w:val="lowerLetter"/>
      <w:start w:val="1"/>
    </w:lvl>
  </w:abstractNum>
  <w:abstractNum w:abstractNumId="87">
    <w:nsid w:val="3FA62ACA"/>
    <w:multiLevelType w:val="hybridMultilevel"/>
    <w:lvl w:ilvl="0">
      <w:lvlJc w:val="left"/>
      <w:lvlText w:val="%1"/>
      <w:numFmt w:val="lowerLetter"/>
      <w:start w:val="1"/>
    </w:lvl>
    <w:lvl w:ilvl="1">
      <w:lvlJc w:val="left"/>
      <w:lvlText w:val="(%2)"/>
      <w:numFmt w:val="lowerLetter"/>
      <w:start w:val="3"/>
    </w:lvl>
  </w:abstractNum>
  <w:abstractNum w:abstractNumId="88">
    <w:nsid w:val="14FCE74E"/>
    <w:multiLevelType w:val="hybridMultilevel"/>
    <w:lvl w:ilvl="0">
      <w:lvlJc w:val="left"/>
      <w:lvlText w:val="(%1)"/>
      <w:numFmt w:val="lowerLetter"/>
      <w:start w:val="61"/>
    </w:lvl>
    <w:lvl w:ilvl="1">
      <w:lvlJc w:val="left"/>
      <w:lvlText w:val="%2"/>
      <w:numFmt w:val="lowerLetter"/>
      <w:start w:val="1"/>
    </w:lvl>
  </w:abstractNum>
  <w:abstractNum w:abstractNumId="89">
    <w:nsid w:val="6A3DD3E8"/>
    <w:multiLevelType w:val="hybridMultilevel"/>
    <w:lvl w:ilvl="0">
      <w:lvlJc w:val="left"/>
      <w:lvlText w:val="(%1)"/>
      <w:numFmt w:val="lowerRoman"/>
      <w:start w:val="1"/>
    </w:lvl>
  </w:abstractNum>
  <w:abstractNum w:abstractNumId="90">
    <w:nsid w:val="71C91298"/>
    <w:multiLevelType w:val="hybridMultilevel"/>
    <w:lvl w:ilvl="0">
      <w:lvlJc w:val="left"/>
      <w:lvlText w:val="%1"/>
      <w:numFmt w:val="decimal"/>
      <w:start w:val="1"/>
    </w:lvl>
    <w:lvl w:ilvl="1">
      <w:lvlJc w:val="left"/>
      <w:lvlText w:val="(%2)"/>
      <w:numFmt w:val="lowerRoman"/>
      <w:start w:val="2"/>
    </w:lvl>
  </w:abstractNum>
  <w:abstractNum w:abstractNumId="91">
    <w:nsid w:val="9DAF632"/>
    <w:multiLevelType w:val="hybridMultilevel"/>
    <w:lvl w:ilvl="0">
      <w:lvlJc w:val="left"/>
      <w:lvlText w:val="%1."/>
      <w:numFmt w:val="decimal"/>
      <w:start w:val="7"/>
    </w:lvl>
    <w:lvl w:ilvl="1">
      <w:lvlJc w:val="left"/>
      <w:lvlText w:val="%2"/>
      <w:numFmt w:val="lowerRoman"/>
      <w:start w:val="1"/>
    </w:lvl>
  </w:abstractNum>
  <w:abstractNum w:abstractNumId="92">
    <w:nsid w:val="53299938"/>
    <w:multiLevelType w:val="hybridMultilevel"/>
    <w:lvl w:ilvl="0">
      <w:lvlJc w:val="left"/>
      <w:lvlText w:val="(%1)"/>
      <w:numFmt w:val="lowerLetter"/>
      <w:start w:val="3"/>
    </w:lvl>
  </w:abstractNum>
  <w:abstractNum w:abstractNumId="93">
    <w:nsid w:val="1FBFE8E0"/>
    <w:multiLevelType w:val="hybridMultilevel"/>
    <w:lvl w:ilvl="0">
      <w:lvlJc w:val="left"/>
      <w:lvlText w:val="%1."/>
      <w:numFmt w:val="decimal"/>
      <w:start w:val="8"/>
    </w:lvl>
  </w:abstractNum>
  <w:abstractNum w:abstractNumId="94">
    <w:nsid w:val="5092CA79"/>
    <w:multiLevelType w:val="hybridMultilevel"/>
    <w:lvl w:ilvl="0">
      <w:lvlJc w:val="left"/>
      <w:lvlText w:val="(%1)"/>
      <w:numFmt w:val="lowerLetter"/>
      <w:start w:val="3"/>
    </w:lvl>
  </w:abstractNum>
  <w:abstractNum w:abstractNumId="95">
    <w:nsid w:val="1D545C4D"/>
    <w:multiLevelType w:val="hybridMultilevel"/>
    <w:lvl w:ilvl="0">
      <w:lvlJc w:val="left"/>
      <w:lvlText w:val="%1."/>
      <w:numFmt w:val="decimal"/>
      <w:start w:val="9"/>
    </w:lvl>
  </w:abstractNum>
  <w:abstractNum w:abstractNumId="96">
    <w:nsid w:val="59ADEA3D"/>
    <w:multiLevelType w:val="hybridMultilevel"/>
    <w:lvl w:ilvl="0">
      <w:lvlJc w:val="left"/>
      <w:lvlText w:val="%1."/>
      <w:numFmt w:val="decimal"/>
      <w:start w:val="10"/>
    </w:lvl>
  </w:abstractNum>
  <w:abstractNum w:abstractNumId="97">
    <w:nsid w:val="288F1A34"/>
    <w:multiLevelType w:val="hybridMultilevel"/>
    <w:lvl w:ilvl="0">
      <w:lvlJc w:val="left"/>
      <w:lvlText w:val="%1."/>
      <w:numFmt w:val="decimal"/>
      <w:start w:val="11"/>
    </w:lvl>
  </w:abstractNum>
  <w:abstractNum w:abstractNumId="98">
    <w:nsid w:val="2A155DBC"/>
    <w:multiLevelType w:val="hybridMultilevel"/>
    <w:lvl w:ilvl="0">
      <w:lvlJc w:val="left"/>
      <w:lvlText w:val="%1."/>
      <w:numFmt w:val="decimal"/>
      <w:start w:val="12"/>
    </w:lvl>
  </w:abstractNum>
  <w:abstractNum w:abstractNumId="99">
    <w:nsid w:val="1D9F6E5F"/>
    <w:multiLevelType w:val="hybridMultilevel"/>
    <w:lvl w:ilvl="0">
      <w:lvlJc w:val="left"/>
      <w:lvlText w:val="(%1)"/>
      <w:numFmt w:val="lowerRoman"/>
      <w:start w:val="2"/>
    </w:lvl>
  </w:abstractNum>
  <w:abstractNum w:abstractNumId="100">
    <w:nsid w:val="97E1B4E"/>
    <w:multiLevelType w:val="hybridMultilevel"/>
    <w:lvl w:ilvl="0">
      <w:lvlJc w:val="left"/>
      <w:lvlText w:val="%1"/>
      <w:numFmt w:val="decimal"/>
      <w:start w:val="1"/>
    </w:lvl>
    <w:lvl w:ilvl="1">
      <w:lvlJc w:val="left"/>
      <w:lvlText w:val="(%2)"/>
      <w:numFmt w:val="lowerLetter"/>
      <w:start w:val="3"/>
    </w:lvl>
  </w:abstractNum>
  <w:abstractNum w:abstractNumId="101">
    <w:nsid w:val="51088277"/>
    <w:multiLevelType w:val="hybridMultilevel"/>
    <w:lvl w:ilvl="0">
      <w:lvlJc w:val="left"/>
      <w:lvlText w:val="%1."/>
      <w:numFmt w:val="decimal"/>
      <w:start w:val="13"/>
    </w:lvl>
    <w:lvl w:ilvl="1">
      <w:lvlJc w:val="left"/>
      <w:lvlText w:val="%2"/>
      <w:numFmt w:val="lowerLetter"/>
      <w:start w:val="1"/>
    </w:lvl>
  </w:abstractNum>
  <w:abstractNum w:abstractNumId="102">
    <w:nsid w:val="1CA0C5FA"/>
    <w:multiLevelType w:val="hybridMultilevel"/>
    <w:lvl w:ilvl="0">
      <w:lvlJc w:val="left"/>
      <w:lvlText w:val="%1"/>
      <w:numFmt w:val="upperLetter"/>
      <w:start w:val="61"/>
    </w:lvl>
  </w:abstractNum>
  <w:abstractNum w:abstractNumId="103">
    <w:nsid w:val="53584BCB"/>
    <w:multiLevelType w:val="hybridMultilevel"/>
    <w:lvl w:ilvl="0">
      <w:lvlJc w:val="left"/>
      <w:lvlText w:val="%1."/>
      <w:numFmt w:val="decimal"/>
      <w:start w:val="14"/>
    </w:lvl>
  </w:abstractNum>
  <w:abstractNum w:abstractNumId="104">
    <w:nsid w:val="415E286C"/>
    <w:multiLevelType w:val="hybridMultilevel"/>
    <w:lvl w:ilvl="0">
      <w:lvlJc w:val="left"/>
      <w:lvlText w:val="(%1)"/>
      <w:numFmt w:val="lowerLetter"/>
      <w:start w:val="3"/>
    </w:lvl>
  </w:abstractNum>
  <w:abstractNum w:abstractNumId="105">
    <w:nsid w:val="7C58FD05"/>
    <w:multiLevelType w:val="hybridMultilevel"/>
    <w:lvl w:ilvl="0">
      <w:lvlJc w:val="left"/>
      <w:lvlText w:val="%1."/>
      <w:numFmt w:val="decimal"/>
      <w:start w:val="15"/>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lowerLetter"/>
      <w:start w:val="3"/>
    </w:lvl>
  </w:abstractNum>
  <w:abstractNum w:abstractNumId="108">
    <w:nsid w:val="5C10FE21"/>
    <w:multiLevelType w:val="hybridMultilevel"/>
    <w:lvl w:ilvl="0">
      <w:lvlJc w:val="left"/>
      <w:lvlText w:val="(%1)"/>
      <w:numFmt w:val="lowerLetter"/>
      <w:start w:val="5"/>
    </w:lvl>
  </w:abstractNum>
  <w:abstractNum w:abstractNumId="109">
    <w:nsid w:val="E7FFA2B"/>
    <w:multiLevelType w:val="hybridMultilevel"/>
    <w:lvl w:ilvl="0">
      <w:lvlJc w:val="left"/>
      <w:lvlText w:val="(%1)"/>
      <w:numFmt w:val="lowerLetter"/>
      <w:start w:val="6"/>
    </w:lvl>
  </w:abstractNum>
  <w:abstractNum w:abstractNumId="110">
    <w:nsid w:val="3C5991AA"/>
    <w:multiLevelType w:val="hybridMultilevel"/>
    <w:lvl w:ilvl="0">
      <w:lvlJc w:val="left"/>
      <w:lvlText w:val="(%1)"/>
      <w:numFmt w:val="lowerRoman"/>
      <w:start w:val="1"/>
    </w:lvl>
  </w:abstractNum>
  <w:abstractNum w:abstractNumId="111">
    <w:nsid w:val="4BD8591A"/>
    <w:multiLevelType w:val="hybridMultilevel"/>
    <w:lvl w:ilvl="0">
      <w:lvlJc w:val="left"/>
      <w:lvlText w:val="%1"/>
      <w:numFmt w:val="lowerLetter"/>
      <w:start w:val="1"/>
    </w:lvl>
    <w:lvl w:ilvl="1">
      <w:lvlJc w:val="left"/>
      <w:lvlText w:val="(%2)"/>
      <w:numFmt w:val="lowerRoman"/>
      <w:start w:val="3"/>
    </w:lvl>
  </w:abstractNum>
  <w:abstractNum w:abstractNumId="112">
    <w:nsid w:val="78DF6A55"/>
    <w:multiLevelType w:val="hybridMultilevel"/>
    <w:lvl w:ilvl="0">
      <w:lvlJc w:val="left"/>
      <w:lvlText w:val="(%1)"/>
      <w:numFmt w:val="lowerLetter"/>
      <w:start w:val="9"/>
    </w:lvl>
    <w:lvl w:ilvl="1">
      <w:lvlJc w:val="left"/>
      <w:lvlText w:val="%2"/>
      <w:numFmt w:val="lowerRoman"/>
      <w:start w:val="1"/>
    </w:lvl>
  </w:abstractNum>
  <w:abstractNum w:abstractNumId="113">
    <w:nsid w:val="39B7AAA2"/>
    <w:multiLevelType w:val="hybridMultilevel"/>
    <w:lvl w:ilvl="0">
      <w:lvlJc w:val="left"/>
      <w:lvlText w:val="(%1)"/>
      <w:numFmt w:val="lowerLetter"/>
      <w:start w:val="12"/>
    </w:lvl>
  </w:abstractNum>
  <w:abstractNum w:abstractNumId="114">
    <w:nsid w:val="2B0D8DBE"/>
    <w:multiLevelType w:val="hybridMultilevel"/>
    <w:lvl w:ilvl="0">
      <w:lvlJc w:val="left"/>
      <w:lvlText w:val="(%1)"/>
      <w:numFmt w:val="lowerRoman"/>
      <w:start w:val="1"/>
    </w:lvl>
  </w:abstractNum>
  <w:abstractNum w:abstractNumId="115">
    <w:nsid w:val="6C80EC70"/>
    <w:multiLevelType w:val="hybridMultilevel"/>
    <w:lvl w:ilvl="0">
      <w:lvlJc w:val="left"/>
      <w:lvlText w:val="(%1)"/>
      <w:numFmt w:val="lowerLetter"/>
      <w:start w:val="18"/>
    </w:lvl>
  </w:abstractNum>
  <w:abstractNum w:abstractNumId="116">
    <w:nsid w:val="379E21B5"/>
    <w:multiLevelType w:val="hybridMultilevel"/>
    <w:lvl w:ilvl="0">
      <w:lvlJc w:val="left"/>
      <w:lvlText w:val="(%1)"/>
      <w:numFmt w:val="lowerLetter"/>
      <w:start w:val="20"/>
    </w:lvl>
  </w:abstractNum>
  <w:abstractNum w:abstractNumId="117">
    <w:nsid w:val="69E373"/>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2026-06-04T15:09:49Z</dcterms:created>
  <dcterms:modified xsi:type="dcterms:W3CDTF">2026-06-04T15:09:49Z</dcterms:modified>
</cp:coreProperties>
</file>